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ascii="Arial" w:hAnsi="Arial"/>
          <w:b/>
          <w:color w:val="0D9488"/>
          <w:sz w:val="18"/>
        </w:rPr>
        <w:t>PROGRAMA DE INTELIGENCIA ARTIFICIAL APLICADA · UTN-FRBA &amp; EPIDATA</w:t>
      </w:r>
    </w:p>
    <w:p>
      <w:pPr>
        <w:pStyle w:val="Normal"/>
        <w:spacing w:before="40" w:after="120"/>
        <w:rPr/>
      </w:pPr>
      <w:r>
        <w:rPr>
          <w:rFonts w:ascii="Arial" w:hAnsi="Arial"/>
          <w:b/>
          <w:color w:val="1E3A8A"/>
          <w:sz w:val="44"/>
        </w:rPr>
        <w:t>INFORME TÉCNICO DE IMPLEMENTACIÓN FINAL</w:t>
      </w:r>
    </w:p>
    <w:p>
      <w:pPr>
        <w:pStyle w:val="Normal"/>
        <w:spacing w:before="0" w:after="360"/>
        <w:rPr/>
      </w:pPr>
      <w:r>
        <w:rPr>
          <w:rFonts w:ascii="Arial" w:hAnsi="Arial"/>
          <w:color w:val="64748B"/>
          <w:sz w:val="22"/>
        </w:rPr>
        <w:t>RefuGuía: Sistema Integral Multi-Agente On-Premise con IA Local (SLM+VLM), Protocolo MCP y Trazabilidad Médica Inmutable Post-Sismo</w:t>
      </w:r>
    </w:p>
    <w:p>
      <w:pPr>
        <w:pStyle w:val="Normal"/>
        <w:pBdr>
          <w:bottom w:val="single" w:sz="18" w:space="1" w:color="1E3A8A"/>
        </w:pBdr>
        <w:spacing w:before="0" w:after="280"/>
        <w:rPr/>
      </w:pPr>
      <w:r>
        <w:rPr/>
      </w:r>
    </w:p>
    <w:p>
      <w:pPr>
        <w:pStyle w:val="Normal"/>
        <w:spacing w:before="240" w:after="200"/>
        <w:rPr/>
      </w:pPr>
      <w:r>
        <w:rPr>
          <w:rFonts w:ascii="Arial" w:hAnsi="Arial"/>
          <w:b/>
          <w:color w:val="1E3A8A"/>
          <w:sz w:val="32"/>
        </w:rPr>
        <w:t>Sección 1 · Presentación del Equipo y del Proyecto</w:t>
      </w:r>
    </w:p>
    <w:p>
      <w:pPr>
        <w:pStyle w:val="Normal"/>
        <w:spacing w:before="200" w:after="80"/>
        <w:rPr/>
      </w:pPr>
      <w:r>
        <w:rPr>
          <w:rFonts w:ascii="Arial" w:hAnsi="Arial"/>
          <w:b/>
          <w:color w:val="0D9488"/>
          <w:sz w:val="25"/>
        </w:rPr>
        <w:t>1.1 Integrantes del Grupo y Roles de Desarrollo</w:t>
      </w:r>
    </w:p>
    <w:p>
      <w:pPr>
        <w:pStyle w:val="Normal"/>
        <w:spacing w:lineRule="auto" w:line="276" w:before="0" w:after="160"/>
        <w:rPr/>
      </w:pPr>
      <w:r>
        <w:rPr>
          <w:rFonts w:ascii="Arial" w:hAnsi="Arial"/>
          <w:color w:val="0F172A"/>
          <w:sz w:val="20"/>
        </w:rPr>
        <w:t>El proyecto fue concebido, diseñado, implementado y validado en su totalidad de manera individual por el siguiente integrante, asumiendo un enfoque multidisciplinario 'Full-Cycle AI Engineering':</w:t>
      </w:r>
    </w:p>
    <w:tbl>
      <w:tblPr>
        <w:tblW w:w="9360" w:type="dxa"/>
        <w:jc w:val="center"/>
        <w:tblInd w:w="0" w:type="dxa"/>
        <w:tblLayout w:type="fixed"/>
        <w:tblCellMar>
          <w:top w:w="120" w:type="dxa"/>
          <w:left w:w="140" w:type="dxa"/>
          <w:bottom w:w="120" w:type="dxa"/>
          <w:right w:w="140" w:type="dxa"/>
        </w:tblCellMar>
        <w:tblLook w:firstRow="1" w:noVBand="1" w:lastRow="0" w:firstColumn="1" w:lastColumn="0" w:noHBand="0" w:val="04a0"/>
      </w:tblPr>
      <w:tblGrid>
        <w:gridCol w:w="3120"/>
        <w:gridCol w:w="3120"/>
        <w:gridCol w:w="3120"/>
      </w:tblGrid>
      <w:tr>
        <w:trPr/>
        <w:tc>
          <w:tcPr>
            <w:tcW w:w="3120" w:type="dxa"/>
            <w:tcBorders/>
            <w:shd w:fill="1E3A8A"/>
          </w:tcPr>
          <w:p>
            <w:pPr>
              <w:pStyle w:val="Normal"/>
              <w:widowControl/>
              <w:bidi w:val="0"/>
              <w:spacing w:lineRule="auto" w:line="276" w:before="0" w:after="200"/>
              <w:jc w:val="left"/>
              <w:rPr/>
            </w:pPr>
            <w:r>
              <w:rPr>
                <w:rFonts w:ascii="Arial" w:hAnsi="Arial"/>
                <w:b/>
                <w:color w:val="FFFFFF"/>
                <w:sz w:val="19"/>
              </w:rPr>
              <w:t>Integrante</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Rol Asumido</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Responsabilidades y Alcance en el Proyecto</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Arquitecto de Soluciones &amp; AI Engineer</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Diseño de la arquitectura Multi-Agente On-Premise, integración de Ollama Local (SLM Qwen 2.5 + VLM Moondream) y base de datos vectorial ChromaDB.</w:t>
            </w:r>
          </w:p>
        </w:tc>
      </w:tr>
      <w:tr>
        <w:trPr/>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Desarrollador Backend &amp; MCP Lead</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8"/>
              </w:rPr>
              <w:t>Implementación de la API REST en Laravel 11, Servidor de Protocolo MCP con 6 Skills agénticas (.md) y lógica inmutable SHA-256 de fármacos.</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Desarrollador Frontend &amp; UX/UI Lead</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Creación de la Single Page Application en Vue.js 3 + Vite, diseño reactivo con Tailwind/Vanilla CSS, flujos de usuario y selector 1-Click de personas.</w:t>
            </w:r>
          </w:p>
        </w:tc>
      </w:tr>
      <w:tr>
        <w:trPr/>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Ingeniero de Ciberseguridad &amp; QA</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8"/>
              </w:rPr>
              <w:t>Diseño de defensas contra Prompt Injection/Jailbreaks, control de acceso RBAC por roles, sanitización estricta y suite de 8 pruebas automatizadas al 100%.</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DevOps &amp; Despliegue de Campaña</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Contenerización Docker Multi-Contenedor, orquestación WSL2/Ubuntu, pipelines locales y gestión de versionamiento Git en GitHub.</w:t>
            </w:r>
          </w:p>
        </w:tc>
      </w:tr>
    </w:tbl>
    <w:p>
      <w:pPr>
        <w:pStyle w:val="Normal"/>
        <w:spacing w:before="0" w:after="160"/>
        <w:rPr/>
      </w:pPr>
      <w:r>
        <w:rPr/>
      </w:r>
    </w:p>
    <w:p>
      <w:pPr>
        <w:pStyle w:val="Normal"/>
        <w:spacing w:before="200" w:after="80"/>
        <w:rPr/>
      </w:pPr>
      <w:r>
        <w:rPr>
          <w:rFonts w:ascii="Arial" w:hAnsi="Arial"/>
          <w:b/>
          <w:color w:val="0D9488"/>
          <w:sz w:val="25"/>
        </w:rPr>
        <w:t>1.2 Nombre del Proyecto</w:t>
      </w:r>
    </w:p>
    <w:tbl>
      <w:tblPr>
        <w:tblW w:w="9360" w:type="dxa"/>
        <w:jc w:val="center"/>
        <w:tblInd w:w="0" w:type="dxa"/>
        <w:tblLayout w:type="fixed"/>
        <w:tblCellMar>
          <w:top w:w="140" w:type="dxa"/>
          <w:left w:w="200" w:type="dxa"/>
          <w:bottom w:w="140" w:type="dxa"/>
          <w:right w:w="200" w:type="dxa"/>
        </w:tblCellMar>
        <w:tblLook w:firstRow="1" w:noVBand="1" w:lastRow="0" w:firstColumn="1" w:lastColumn="0" w:noHBand="0" w:val="04a0"/>
      </w:tblPr>
      <w:tblGrid>
        <w:gridCol w:w="9360"/>
      </w:tblGrid>
      <w:tr>
        <w:trPr/>
        <w:tc>
          <w:tcPr>
            <w:tcW w:w="9360" w:type="dxa"/>
            <w:tcBorders/>
            <w:shd w:fill="EEF2FF"/>
          </w:tcPr>
          <w:p>
            <w:pPr>
              <w:pStyle w:val="Normal"/>
              <w:spacing w:before="0" w:after="40"/>
              <w:rPr/>
            </w:pPr>
            <w:r>
              <w:rPr>
                <w:rFonts w:ascii="Arial" w:hAnsi="Arial"/>
                <w:b/>
                <w:color w:val="1E3A8A"/>
                <w:sz w:val="32"/>
              </w:rPr>
              <w:t>RefuGuía</w:t>
            </w:r>
          </w:p>
          <w:p>
            <w:pPr>
              <w:pStyle w:val="Normal"/>
              <w:spacing w:lineRule="auto" w:line="276" w:before="0" w:after="0"/>
              <w:rPr/>
            </w:pPr>
            <w:r>
              <w:rPr>
                <w:rFonts w:ascii="Arial" w:hAnsi="Arial"/>
                <w:color w:val="0F172A"/>
                <w:sz w:val="19"/>
              </w:rPr>
              <w:t>Sistema Integral Multi-Agente On-Premise con Inteligencia Artificial Local (SLM Lingüístico + VLM de Visión Computacional), Protocolo MCP (Model Context Protocol) y Trazabilidad Médica Inmutable para Refugios de Emergencia y Reencuentro Familiar de Mascotas Post-Sismo.</w:t>
            </w:r>
          </w:p>
        </w:tc>
      </w:tr>
    </w:tbl>
    <w:p>
      <w:pPr>
        <w:pStyle w:val="Normal"/>
        <w:spacing w:before="0" w:after="160"/>
        <w:rPr/>
      </w:pPr>
      <w:r>
        <w:rPr/>
      </w:r>
    </w:p>
    <w:p>
      <w:pPr>
        <w:pStyle w:val="Normal"/>
        <w:spacing w:before="200" w:after="80"/>
        <w:rPr/>
      </w:pPr>
      <w:r>
        <w:rPr>
          <w:rFonts w:ascii="Arial" w:hAnsi="Arial"/>
          <w:b/>
          <w:color w:val="0D9488"/>
          <w:sz w:val="25"/>
        </w:rPr>
        <w:t>1.3 Problema que Resuelve (Punto de Partida y Solución Implementada)</w:t>
      </w:r>
    </w:p>
    <w:p>
      <w:pPr>
        <w:pStyle w:val="Normal"/>
        <w:spacing w:lineRule="auto" w:line="276" w:before="0" w:after="120"/>
        <w:rPr/>
      </w:pPr>
      <w:r>
        <w:rPr>
          <w:rFonts w:ascii="Arial" w:hAnsi="Arial"/>
          <w:b/>
          <w:color w:val="1E3A8A"/>
          <w:sz w:val="20"/>
        </w:rPr>
        <w:t>A. Punto de Partida y Diagnóstico de la Crisis:</w:t>
      </w:r>
    </w:p>
    <w:p>
      <w:pPr>
        <w:pStyle w:val="Normal"/>
        <w:spacing w:lineRule="auto" w:line="276" w:before="0" w:after="160"/>
        <w:rPr/>
      </w:pPr>
      <w:r>
        <w:rPr>
          <w:rFonts w:ascii="Arial" w:hAnsi="Arial"/>
          <w:color w:val="0F172A"/>
          <w:sz w:val="19"/>
        </w:rPr>
        <w:t>Tras eventos catastróficos como el sismo de Caracas (6.2 Mw), la infraestructura eléctrica y las telecomunicaciones colapsan, generando un escenario crítico caracterizado por: (1) Extravío masivo de animales de compañía en shock, (2) Saturación de refugios de campaña gestionados con libretas de papel propensas a extravío o daño por humedad/lluvia, (3) Falta de trazabilidad en la administración de fármacos críticos (generando riesgos de sobredosis o intoxicación en animales rescatados), (4) Inexistencia de mecanismos automatizados para hacer cumplir el período de gracia legal inamovible de 15 días continuos de búsqueda pública antes de dar una mascota en adopción, y (5) Imposibilidad de usar nubes comerciales (OpenAI, AWS) por corte de conectividad a internet y restricciones presupuestarias.</w:t>
      </w:r>
    </w:p>
    <w:p>
      <w:pPr>
        <w:pStyle w:val="Normal"/>
        <w:spacing w:lineRule="auto" w:line="276" w:before="0" w:after="120"/>
        <w:rPr/>
      </w:pPr>
      <w:r>
        <w:rPr>
          <w:rFonts w:ascii="Arial" w:hAnsi="Arial"/>
          <w:b/>
          <w:color w:val="1E3A8A"/>
          <w:sz w:val="20"/>
        </w:rPr>
        <w:t>B. Solución Tecnológica Implementada:</w:t>
      </w:r>
    </w:p>
    <w:p>
      <w:pPr>
        <w:pStyle w:val="Normal"/>
        <w:spacing w:lineRule="auto" w:line="276" w:before="0" w:after="200"/>
        <w:rPr/>
      </w:pPr>
      <w:r>
        <w:rPr>
          <w:rFonts w:ascii="Arial" w:hAnsi="Arial"/>
          <w:color w:val="0F172A"/>
          <w:sz w:val="19"/>
        </w:rPr>
        <w:t>RefuGuía resuelve integralmente esta problemática mediante una arquitectura Multi-Agente On-Premise operada en laptops o servidores locales de campaña. La solución combina: (1) Agente Lingüístico SLM (Qwen 2.5 1.5B) para ingesta de relatos en lenguaje natural venezolano por voz o texto, (2) Agente de Peritaje Visual VLM (Moondream 1.4B) para análisis y cotejo de fotografías píxel a píxel, (3) Motor Vectorial RAG en ChromaDB para emparejamiento semántico K-NN entre animales perdidos y encontrados, (4) Servidor MCP oficial (Model Context Protocol 2026.1) con 6 Skills agénticas auditables basadas en especificaciones Markdown, (5) Trazabilidad Médica Inmutable mediante hashes criptográficos SHA-256 encadenados y bloqueo estricto por escaneo de collares QR físicos, y (6) Auditoría jurídica automatizada del período legal de 15 días con triaje de idoneidad para adoptantes.</w:t>
      </w:r>
    </w:p>
    <w:p>
      <w:pPr>
        <w:pStyle w:val="Normal"/>
        <w:spacing w:before="200" w:after="80"/>
        <w:rPr/>
      </w:pPr>
      <w:r>
        <w:rPr>
          <w:rFonts w:ascii="Arial" w:hAnsi="Arial"/>
          <w:b/>
          <w:color w:val="0D9488"/>
          <w:sz w:val="25"/>
        </w:rPr>
        <w:t>1.4 Público Objetivo (Usuarios Reales de la Aplicación)</w:t>
      </w:r>
    </w:p>
    <w:tbl>
      <w:tblPr>
        <w:tblW w:w="9360" w:type="dxa"/>
        <w:jc w:val="center"/>
        <w:tblInd w:w="0" w:type="dxa"/>
        <w:tblLayout w:type="fixed"/>
        <w:tblCellMar>
          <w:top w:w="120" w:type="dxa"/>
          <w:left w:w="140" w:type="dxa"/>
          <w:bottom w:w="120" w:type="dxa"/>
          <w:right w:w="140" w:type="dxa"/>
        </w:tblCellMar>
        <w:tblLook w:firstRow="1" w:noVBand="1" w:lastRow="0" w:firstColumn="1" w:lastColumn="0" w:noHBand="0" w:val="04a0"/>
      </w:tblPr>
      <w:tblGrid>
        <w:gridCol w:w="2340"/>
        <w:gridCol w:w="2340"/>
        <w:gridCol w:w="2340"/>
        <w:gridCol w:w="2339"/>
      </w:tblGrid>
      <w:tr>
        <w:trPr/>
        <w:tc>
          <w:tcPr>
            <w:tcW w:w="2340" w:type="dxa"/>
            <w:tcBorders/>
            <w:shd w:fill="1E3A8A"/>
          </w:tcPr>
          <w:p>
            <w:pPr>
              <w:pStyle w:val="Normal"/>
              <w:widowControl/>
              <w:bidi w:val="0"/>
              <w:spacing w:lineRule="auto" w:line="276" w:before="0" w:after="200"/>
              <w:jc w:val="left"/>
              <w:rPr/>
            </w:pPr>
            <w:r>
              <w:rPr>
                <w:rFonts w:ascii="Arial" w:hAnsi="Arial"/>
                <w:b/>
                <w:color w:val="FFFFFF"/>
                <w:sz w:val="19"/>
              </w:rPr>
              <w:t>Persona / Perfil</w:t>
            </w:r>
          </w:p>
        </w:tc>
        <w:tc>
          <w:tcPr>
            <w:tcW w:w="2340" w:type="dxa"/>
            <w:tcBorders/>
            <w:shd w:fill="1E3A8A"/>
          </w:tcPr>
          <w:p>
            <w:pPr>
              <w:pStyle w:val="Normal"/>
              <w:widowControl/>
              <w:bidi w:val="0"/>
              <w:spacing w:lineRule="auto" w:line="276" w:before="0" w:after="200"/>
              <w:jc w:val="left"/>
              <w:rPr/>
            </w:pPr>
            <w:r>
              <w:rPr>
                <w:rFonts w:ascii="Arial" w:hAnsi="Arial"/>
                <w:b/>
                <w:color w:val="FFFFFF"/>
                <w:sz w:val="19"/>
              </w:rPr>
              <w:t>Rol en el Sistema</w:t>
            </w:r>
          </w:p>
        </w:tc>
        <w:tc>
          <w:tcPr>
            <w:tcW w:w="2340" w:type="dxa"/>
            <w:tcBorders/>
            <w:shd w:fill="1E3A8A"/>
          </w:tcPr>
          <w:p>
            <w:pPr>
              <w:pStyle w:val="Normal"/>
              <w:widowControl/>
              <w:bidi w:val="0"/>
              <w:spacing w:lineRule="auto" w:line="276" w:before="0" w:after="200"/>
              <w:jc w:val="left"/>
              <w:rPr/>
            </w:pPr>
            <w:r>
              <w:rPr>
                <w:rFonts w:ascii="Arial" w:hAnsi="Arial"/>
                <w:b/>
                <w:color w:val="FFFFFF"/>
                <w:sz w:val="19"/>
              </w:rPr>
              <w:t>Objetivo y Necesidades Reales</w:t>
            </w:r>
          </w:p>
        </w:tc>
        <w:tc>
          <w:tcPr>
            <w:tcW w:w="2339" w:type="dxa"/>
            <w:tcBorders/>
            <w:shd w:fill="1E3A8A"/>
          </w:tcPr>
          <w:p>
            <w:pPr>
              <w:pStyle w:val="Normal"/>
              <w:widowControl/>
              <w:bidi w:val="0"/>
              <w:spacing w:lineRule="auto" w:line="276" w:before="0" w:after="200"/>
              <w:jc w:val="left"/>
              <w:rPr/>
            </w:pPr>
            <w:r>
              <w:rPr>
                <w:rFonts w:ascii="Arial" w:hAnsi="Arial"/>
                <w:b/>
                <w:color w:val="FFFFFF"/>
                <w:sz w:val="19"/>
              </w:rPr>
              <w:t>Módulos y Permisos Habilitados</w:t>
            </w:r>
          </w:p>
        </w:tc>
      </w:tr>
      <w:tr>
        <w:trPr/>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7"/>
              </w:rPr>
              <w:t>Dra. Carmen López</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Coordinadora de Refugio</w:t>
              <w:br/>
              <w:t>(shelter_admin)</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Gestionar inventario de campaña, generar collares QR, auditar tratamientos clínicos SHA-256 y autorizar adopciones al cumplir 15 días.</w:t>
            </w:r>
          </w:p>
        </w:tc>
        <w:tc>
          <w:tcPr>
            <w:tcW w:w="2339"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Acceso Total: Refugios &amp; QR, Centro de Reencuentro, Adopción, MCP Skills, Consola SLM.</w:t>
            </w:r>
          </w:p>
        </w:tc>
      </w:tr>
      <w:tr>
        <w:trPr/>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7"/>
              </w:rPr>
              <w:t>Carlos Mendoza</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Rescatista de Campo</w:t>
              <w:br/>
              <w:t>(rescuer)</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Ingresar rescates en campo por dictado de voz o texto, imprimir collares QR impermeables y verificar matches preliminares.</w:t>
            </w:r>
          </w:p>
        </w:tc>
        <w:tc>
          <w:tcPr>
            <w:tcW w:w="2339"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Chat Ciudadano (Ingreso Rápido), Refugios &amp; QR, Centro de Reencuentro.</w:t>
            </w:r>
          </w:p>
        </w:tc>
      </w:tr>
      <w:tr>
        <w:trPr/>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7"/>
              </w:rPr>
              <w:t>María Fernández</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Damnificada / Ciudadana</w:t>
              <w:br/>
              <w:t>(citizen)</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Buscar a su mascota extraviada reportando descripción o foto, revisar coincidencias sugeridas y postular si cumple requisitos.</w:t>
            </w:r>
          </w:p>
        </w:tc>
        <w:tc>
          <w:tcPr>
            <w:tcW w:w="2339"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Chat Ciudadano (Búsqueda Familiar), Centro de Reencuentro, Portal de Adopción (15d).</w:t>
            </w:r>
          </w:p>
        </w:tc>
      </w:tr>
      <w:tr>
        <w:trPr/>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7"/>
              </w:rPr>
              <w:t>Andrés Morales</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Adoptante Responsable</w:t>
              <w:br/>
              <w:t>(adopter)</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Explorar catálogo de animales con período de búsqueda vencido (&gt;15d) y postularse mediante evaluación de idoneidad con IA.</w:t>
            </w:r>
          </w:p>
        </w:tc>
        <w:tc>
          <w:tcPr>
            <w:tcW w:w="2339"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Chat Asistente de Adopción, Portal de Adopción Responsable (Triaje IA).</w:t>
            </w:r>
          </w:p>
        </w:tc>
      </w:tr>
    </w:tbl>
    <w:p>
      <w:pPr>
        <w:pStyle w:val="Normal"/>
        <w:spacing w:before="0" w:after="160"/>
        <w:rPr/>
      </w:pPr>
      <w:r>
        <w:rPr/>
      </w:r>
    </w:p>
    <w:p>
      <w:pPr>
        <w:pStyle w:val="Normal"/>
        <w:spacing w:before="360" w:after="200"/>
        <w:rPr/>
      </w:pPr>
      <w:r>
        <w:rPr>
          <w:rFonts w:ascii="Arial" w:hAnsi="Arial"/>
          <w:b/>
          <w:color w:val="1E3A8A"/>
          <w:sz w:val="32"/>
        </w:rPr>
        <w:t>Sección 2 · Arquitectura Técnica del Sistema</w:t>
      </w:r>
    </w:p>
    <w:p>
      <w:pPr>
        <w:pStyle w:val="Normal"/>
        <w:spacing w:before="200" w:after="80"/>
        <w:rPr/>
      </w:pPr>
      <w:r>
        <w:rPr>
          <w:rFonts w:ascii="Arial" w:hAnsi="Arial"/>
          <w:b/>
          <w:color w:val="0D9488"/>
          <w:sz w:val="25"/>
        </w:rPr>
        <w:t>2.1 Diagrama de Arquitectura General del Sistema (UML de Paquetes)</w:t>
      </w:r>
    </w:p>
    <w:p>
      <w:pPr>
        <w:pStyle w:val="Normal"/>
        <w:spacing w:lineRule="auto" w:line="276" w:before="0" w:after="160"/>
        <w:rPr/>
      </w:pPr>
      <w:r>
        <w:rPr>
          <w:rFonts w:ascii="Arial" w:hAnsi="Arial"/>
          <w:color w:val="0F172A"/>
          <w:sz w:val="19"/>
        </w:rPr>
        <w:t>La arquitectura de RefuGuía está estructurada en 4 capas desacopladas y 100% On-Premise para escenarios de contingencia post-sismo. El siguiente diagrama UML de paquetes ilustra cómo fluyen los datos de Entrada y Salida, diferenciando los módulos basados en Inteligencia Artificial de aquellos gobernados por lógica transaccional determinista tradicional y auditoría criptográfica inmutable:</w:t>
      </w:r>
    </w:p>
    <w:p>
      <w:pPr>
        <w:pStyle w:val="Normal"/>
        <w:spacing w:before="160" w:after="80"/>
        <w:jc w:val="center"/>
        <w:rPr/>
      </w:pPr>
      <w:r>
        <w:rPr/>
        <w:drawing>
          <wp:inline distT="0" distB="0" distL="0" distR="0">
            <wp:extent cx="5669280" cy="316420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669280" cy="3164205"/>
                    </a:xfrm>
                    <a:prstGeom prst="rect">
                      <a:avLst/>
                    </a:prstGeom>
                  </pic:spPr>
                </pic:pic>
              </a:graphicData>
            </a:graphic>
          </wp:inline>
        </w:drawing>
      </w:r>
    </w:p>
    <w:p>
      <w:pPr>
        <w:pStyle w:val="Normal"/>
        <w:spacing w:before="0" w:after="200"/>
        <w:jc w:val="center"/>
        <w:rPr/>
      </w:pPr>
      <w:r>
        <w:rPr>
          <w:rFonts w:ascii="Arial" w:hAnsi="Arial"/>
          <w:i/>
          <w:color w:val="64748B"/>
          <w:sz w:val="17"/>
        </w:rPr>
        <w:t>Figura: Diagrama UML de Arquitectura General del Sistema RefuGuía en 4 Capas (100% en Español).</w:t>
      </w:r>
    </w:p>
    <w:tbl>
      <w:tblPr>
        <w:tblW w:w="9360" w:type="dxa"/>
        <w:jc w:val="center"/>
        <w:tblInd w:w="0" w:type="dxa"/>
        <w:tblLayout w:type="fixed"/>
        <w:tblCellMar>
          <w:top w:w="100" w:type="dxa"/>
          <w:left w:w="120" w:type="dxa"/>
          <w:bottom w:w="100" w:type="dxa"/>
          <w:right w:w="120" w:type="dxa"/>
        </w:tblCellMar>
        <w:tblLook w:firstRow="1" w:noVBand="1" w:lastRow="0" w:firstColumn="1" w:lastColumn="0" w:noHBand="0" w:val="04a0"/>
      </w:tblPr>
      <w:tblGrid>
        <w:gridCol w:w="2340"/>
        <w:gridCol w:w="2340"/>
        <w:gridCol w:w="2340"/>
        <w:gridCol w:w="2339"/>
      </w:tblGrid>
      <w:tr>
        <w:trPr/>
        <w:tc>
          <w:tcPr>
            <w:tcW w:w="2340" w:type="dxa"/>
            <w:tcBorders/>
            <w:shd w:fill="1E3A8A"/>
          </w:tcPr>
          <w:p>
            <w:pPr>
              <w:pStyle w:val="Normal"/>
              <w:widowControl/>
              <w:bidi w:val="0"/>
              <w:spacing w:lineRule="auto" w:line="276" w:before="0" w:after="200"/>
              <w:jc w:val="left"/>
              <w:rPr/>
            </w:pPr>
            <w:r>
              <w:rPr>
                <w:rFonts w:ascii="Arial" w:hAnsi="Arial"/>
                <w:b/>
                <w:color w:val="FFFFFF"/>
                <w:sz w:val="18"/>
              </w:rPr>
              <w:t>Componente del Sistema</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Naturaleza (IA vs Tradicional)</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Tecnología / Motor</w:t>
            </w:r>
          </w:p>
        </w:tc>
        <w:tc>
          <w:tcPr>
            <w:tcW w:w="2339" w:type="dxa"/>
            <w:tcBorders/>
            <w:shd w:fill="1E3A8A"/>
          </w:tcPr>
          <w:p>
            <w:pPr>
              <w:pStyle w:val="Normal"/>
              <w:widowControl/>
              <w:bidi w:val="0"/>
              <w:spacing w:lineRule="auto" w:line="276" w:before="0" w:after="200"/>
              <w:jc w:val="left"/>
              <w:rPr/>
            </w:pPr>
            <w:r>
              <w:rPr>
                <w:rFonts w:ascii="Arial" w:hAnsi="Arial"/>
                <w:b/>
                <w:color w:val="FFFFFF"/>
                <w:sz w:val="18"/>
              </w:rPr>
              <w:t>Ubicación de Memoria Persistente</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Ingesta NLP &amp; Extracción JSON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(SLM)</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Qwen 2.5:1.5B (Ollama Local)</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Sin estado en memoria RAM; estructura persistida en MySQL.</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Peritaje Visual de Fotografías</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(VLM)</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Moondream:latest (1.4B ViT+Phi)</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Inferencia en memoria GPU/CPU; dictamen guardado en MySQL.</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Búsqueda Semántica K-NN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(RAG)</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ChromaDB v2 (Cosine Distance)</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Espacio vectorial persistido en disco (sqlite3/chroma_data).</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Auditoría de Fármacos &amp; Hashes</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Lógica Tradicional / Cripto</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PHP 8.2 / SHA-256 Chaining</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MySQL 8.0 (Campos hash_sha256 inmutables).</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Control de Acceso RBAC &amp; Menú</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Lógica Tradicional</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Laravel Sanctum / Vue Router Guards</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MySQL 8.0 (Tablas users, roles) y LocalStorage.</w:t>
            </w:r>
          </w:p>
        </w:tc>
      </w:tr>
    </w:tbl>
    <w:p>
      <w:pPr>
        <w:pStyle w:val="Normal"/>
        <w:spacing w:before="0" w:after="160"/>
        <w:rPr/>
      </w:pPr>
      <w:r>
        <w:rPr/>
      </w:r>
    </w:p>
    <w:p>
      <w:pPr>
        <w:pStyle w:val="Normal"/>
        <w:spacing w:before="240" w:after="80"/>
        <w:rPr/>
      </w:pPr>
      <w:r>
        <w:rPr>
          <w:rFonts w:ascii="Arial" w:hAnsi="Arial"/>
          <w:b/>
          <w:color w:val="0D9488"/>
          <w:sz w:val="25"/>
        </w:rPr>
        <w:t>2.2 Diagrama de Flujo de Agentes (Orquestación Multi-Agente &amp; Protocolo MCP)</w:t>
      </w:r>
    </w:p>
    <w:p>
      <w:pPr>
        <w:pStyle w:val="Normal"/>
        <w:spacing w:before="160" w:after="80"/>
        <w:jc w:val="center"/>
        <w:rPr/>
      </w:pPr>
      <w:r>
        <w:rPr/>
        <w:drawing>
          <wp:inline distT="0" distB="0" distL="0" distR="0">
            <wp:extent cx="5669280" cy="316420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669280" cy="3164205"/>
                    </a:xfrm>
                    <a:prstGeom prst="rect">
                      <a:avLst/>
                    </a:prstGeom>
                  </pic:spPr>
                </pic:pic>
              </a:graphicData>
            </a:graphic>
          </wp:inline>
        </w:drawing>
      </w:r>
    </w:p>
    <w:p>
      <w:pPr>
        <w:pStyle w:val="Normal"/>
        <w:spacing w:before="0" w:after="200"/>
        <w:jc w:val="center"/>
        <w:rPr/>
      </w:pPr>
      <w:r>
        <w:rPr>
          <w:rFonts w:ascii="Arial" w:hAnsi="Arial"/>
          <w:i/>
          <w:color w:val="64748B"/>
          <w:sz w:val="17"/>
        </w:rPr>
        <w:t>Figura: Diagrama de Flujo y Secuencia de la Orquestación Multi-Agente con Protocolo MCP (100% en Español).</w:t>
      </w:r>
    </w:p>
    <w:p>
      <w:pPr>
        <w:pStyle w:val="Normal"/>
        <w:spacing w:before="240" w:after="80"/>
        <w:rPr/>
      </w:pPr>
      <w:r>
        <w:rPr>
          <w:rFonts w:ascii="Arial" w:hAnsi="Arial"/>
          <w:b/>
          <w:color w:val="0D9488"/>
          <w:sz w:val="25"/>
        </w:rPr>
        <w:t>2.3 Diagramas UML (Casos de Uso del Sistema)</w:t>
      </w:r>
    </w:p>
    <w:p>
      <w:pPr>
        <w:pStyle w:val="Normal"/>
        <w:spacing w:before="160" w:after="80"/>
        <w:jc w:val="center"/>
        <w:rPr/>
      </w:pPr>
      <w:r>
        <w:rPr/>
        <w:drawing>
          <wp:inline distT="0" distB="0" distL="0" distR="0">
            <wp:extent cx="5669280" cy="31642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669280" cy="3164205"/>
                    </a:xfrm>
                    <a:prstGeom prst="rect">
                      <a:avLst/>
                    </a:prstGeom>
                  </pic:spPr>
                </pic:pic>
              </a:graphicData>
            </a:graphic>
          </wp:inline>
        </w:drawing>
      </w:r>
    </w:p>
    <w:p>
      <w:pPr>
        <w:pStyle w:val="Normal"/>
        <w:spacing w:before="0" w:after="200"/>
        <w:jc w:val="center"/>
        <w:rPr/>
      </w:pPr>
      <w:r>
        <w:rPr>
          <w:rFonts w:ascii="Arial" w:hAnsi="Arial"/>
          <w:i/>
          <w:color w:val="64748B"/>
          <w:sz w:val="17"/>
        </w:rPr>
        <w:t>Figura: Diagrama UML de Casos de Uso del Sistema RefuGuía (100% en Español).</w:t>
      </w:r>
    </w:p>
    <w:p>
      <w:pPr>
        <w:pStyle w:val="Normal"/>
        <w:spacing w:before="360" w:after="200"/>
        <w:rPr/>
      </w:pPr>
      <w:r>
        <w:rPr>
          <w:rFonts w:ascii="Arial" w:hAnsi="Arial"/>
          <w:b/>
          <w:color w:val="1E3A8A"/>
          <w:sz w:val="32"/>
        </w:rPr>
        <w:t>Sección 3 · Stack Tecnológico</w:t>
      </w:r>
    </w:p>
    <w:tbl>
      <w:tblPr>
        <w:tblW w:w="9360" w:type="dxa"/>
        <w:jc w:val="center"/>
        <w:tblInd w:w="0" w:type="dxa"/>
        <w:tblLayout w:type="fixed"/>
        <w:tblCellMar>
          <w:top w:w="120" w:type="dxa"/>
          <w:left w:w="140" w:type="dxa"/>
          <w:bottom w:w="120" w:type="dxa"/>
          <w:right w:w="140" w:type="dxa"/>
        </w:tblCellMar>
        <w:tblLook w:firstRow="1" w:noVBand="1" w:lastRow="0" w:firstColumn="1" w:lastColumn="0" w:noHBand="0" w:val="04a0"/>
      </w:tblPr>
      <w:tblGrid>
        <w:gridCol w:w="3120"/>
        <w:gridCol w:w="3120"/>
        <w:gridCol w:w="3120"/>
      </w:tblGrid>
      <w:tr>
        <w:trPr/>
        <w:tc>
          <w:tcPr>
            <w:tcW w:w="3120" w:type="dxa"/>
            <w:tcBorders/>
            <w:shd w:fill="1E3A8A"/>
          </w:tcPr>
          <w:p>
            <w:pPr>
              <w:pStyle w:val="Normal"/>
              <w:widowControl/>
              <w:bidi w:val="0"/>
              <w:spacing w:lineRule="auto" w:line="276" w:before="0" w:after="200"/>
              <w:jc w:val="left"/>
              <w:rPr/>
            </w:pPr>
            <w:r>
              <w:rPr>
                <w:rFonts w:ascii="Arial" w:hAnsi="Arial"/>
                <w:b/>
                <w:color w:val="FFFFFF"/>
                <w:sz w:val="19"/>
              </w:rPr>
              <w:t>Componente</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Tecnología / Herramienta</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Por qué se eligió esta y no otra</w:t>
            </w:r>
          </w:p>
        </w:tc>
      </w:tr>
      <w:tr>
        <w:trPr/>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Frontend</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Vue.js 3 (Composition API) +</w:t>
              <w:br/>
              <w:t>Vite + SweetAlert2 +</w:t>
              <w:br/>
              <w:t>Vanilla/Tailwind CSS</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Reactividad instantánea y renderizado ultra-ligero sin la sobrecarga de un Virtual DOM pesado como en Angular o React empresarial. Vite ofrece Hot Module Replacement (HMR) y empaquetado optimizado en milisegundos. La interfaz futurista en modo oscuro (#0e1626) reduce el consumo de batería en laptops de campaña, y SweetAlert2 proporciona diálogos de confirmación accesibles y claros para personas bajo shock emocional.</w:t>
            </w:r>
          </w:p>
        </w:tc>
      </w:tr>
      <w:tr>
        <w:trPr/>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Backend</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Laravel 11 (PHP 8.2 REST API) +</w:t>
              <w:br/>
              <w:t>Arquitectura MCP Nativa</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Framework empresarial con robustez demostrada en consistencia transaccional y validación de reglas de negocio complejas. Permite estructurar de forma limpia la inyección de dependencias para los servicios de IA, control de acceso estricto RBAC (Sanctum/Session) y criptografía SHA-256 sin requerir la sobrecarga de mantener múltiples microservicios dispersos.</w:t>
            </w:r>
          </w:p>
        </w:tc>
      </w:tr>
      <w:tr>
        <w:trPr/>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Base de Datos Relacional</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MySQL 8.0 (InnoDB)</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Garantiza transacciones ACID indispensables para la trazabilidad médica de fármacos críticos y el registro de adopciones. A diferencia de soluciones NoSQL (MongoDB/Firebase) que carecen de integridad referencial estricta o requieren conexión a la nube, MySQL en contenedor Docker ofrece estabilidad absoluta, portabilidad universal y rendimiento óptimo en hardware local.</w:t>
            </w:r>
          </w:p>
        </w:tc>
      </w:tr>
      <w:tr>
        <w:trPr/>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Base de Datos Vectorial (RAG)</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ChromaDB v2 (On-Premise)</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Base vectorial de código abierto embebida localmente. Permite calcular distancias de Coseno K-NN en milisegundos para emparejar relatos y fotos de mascotas sin enviar datos privados fuera del servidor y sin incurrir en costos recurrentes de APIs comerciales en la nube (como Pinecone o Weaviate Cloud).</w:t>
            </w:r>
          </w:p>
        </w:tc>
      </w:tr>
      <w:tr>
        <w:trPr/>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Modelos de Inteligencia Artificial</w:t>
              <w:br/>
              <w:t>(IA Local On-Premise)</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Arquitectura Dual:</w:t>
              <w:br/>
              <w:t>• Qwen 2.5:1.5B (SLM NLP)</w:t>
              <w:br/>
              <w:t>• Moondream:latest (1.4B VLM)</w:t>
              <w:br/>
              <w:t>vía Ollama Local</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En un sismo, el corte de internet imposibilita usar GPT-4o, Claude o Gemini. Se optó por una arquitectura de doble agente en Ollama: (1) Qwen 2.5 1.5B destaca por su alta precisión en español venezolano y extracción estricta de JSON en ~1.4 GB de RAM; (2) Moondream 1.4B es el modelo de visión más ligero del mundo para peritaje directo de fotos píxel a píxel (~1.3 GB). Ambos consumen menos de 3 GB de RAM combinados.</w:t>
            </w:r>
          </w:p>
        </w:tc>
      </w:tr>
      <w:tr>
        <w:trPr/>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Orquestación de Agentes</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Model Context Protocol</w:t>
              <w:br/>
              <w:t>(MCP 2026.1) con Dispatcher</w:t>
              <w:br/>
              <w:t>propio y especificaciones Markdown (.md)</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Se adoptó el estándar abierto MCP promovido por la industria para desacoplar las capacidades (Skills) de los modelos de IA. A diferencia de frameworks como LangChain (con alta deuda técnica y cambios continuos que rompen código) o n8n (que requiere interfaces pesadas), un despachador propio basado en especificaciones formales .md asegura trazabilidad determinista y ejecución en milisegundos.</w:t>
            </w:r>
          </w:p>
        </w:tc>
      </w:tr>
      <w:tr>
        <w:trPr/>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Ciberseguridad y Trazabilidad</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Encadenamiento Criptográfico SHA-256 +</w:t>
              <w:br/>
              <w:t>Sanitizador Heurístico de Prompts +</w:t>
              <w:br/>
              <w:t>Bloqueo Físico por QR</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Garantiza inmutabilidad forense en los expedientes clínicos (cada registro genera un hash encadenado al anterior) e impide la administración errónea de medicamentos si no se escanea el collar QR físico. El módulo de sanitización bloquea intentos de Jailbreak o Prompt Injection antes de que el texto llegue al SLM.</w:t>
            </w:r>
          </w:p>
        </w:tc>
      </w:tr>
      <w:tr>
        <w:trPr/>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Despliegue e Infraestructura</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Docker Multi-Contenedor +</w:t>
              <w:br/>
              <w:t>Docker Compose sobre WSL2 / Linux</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Permite iniciar todo el ecosistema de rescate (Frontend, Backend, MySQL, ChromaDB y Ollama) con un único comando ('docker compose up -d') en cualquier computador portátil o servidor de campaña en minutos, sin depender de plataformas en la nube como Vercel, Render o AWS.</w:t>
            </w:r>
          </w:p>
        </w:tc>
      </w:tr>
    </w:tbl>
    <w:p>
      <w:pPr>
        <w:pStyle w:val="Normal"/>
        <w:spacing w:before="160" w:after="160"/>
        <w:rPr/>
      </w:pPr>
      <w:r>
        <w:rPr>
          <w:rFonts w:ascii="Arial" w:hAnsi="Arial"/>
          <w:i/>
          <w:color w:val="64748B"/>
          <w:sz w:val="17"/>
        </w:rPr>
        <w:t>UTN-FRBA | EPIData — IA Aplicada a Organizaciones</w:t>
      </w:r>
    </w:p>
    <w:p>
      <w:pPr>
        <w:pStyle w:val="Normal"/>
        <w:spacing w:before="360" w:after="200"/>
        <w:rPr/>
      </w:pPr>
      <w:r>
        <w:rPr>
          <w:rFonts w:ascii="Arial" w:hAnsi="Arial"/>
          <w:b/>
          <w:color w:val="1E3A8A"/>
          <w:sz w:val="32"/>
        </w:rPr>
        <w:t>Sección 4 · Evidencia de Funcionamiento (Seguimiento por Roles de Inicio a Fin)</w:t>
      </w:r>
    </w:p>
    <w:p>
      <w:pPr>
        <w:pStyle w:val="Normal"/>
        <w:spacing w:lineRule="auto" w:line="276" w:before="0" w:after="160"/>
        <w:rPr/>
      </w:pPr>
      <w:r>
        <w:rPr>
          <w:rFonts w:ascii="Arial" w:hAnsi="Arial"/>
          <w:color w:val="0F172A"/>
          <w:sz w:val="19"/>
        </w:rPr>
        <w:t>A continuación se presenta la evidencia visual del flujo operativo completo de extremo a extremo, estructurado secuencialmente a través de las experiencias de los 4 actores reales del sistema:</w:t>
      </w:r>
    </w:p>
    <w:p>
      <w:pPr>
        <w:pStyle w:val="Normal"/>
        <w:spacing w:before="160" w:after="80"/>
        <w:rPr/>
      </w:pPr>
      <w:r>
        <w:rPr>
          <w:rFonts w:ascii="Arial" w:hAnsi="Arial"/>
          <w:b/>
          <w:color w:val="1E3A8A"/>
          <w:sz w:val="22"/>
        </w:rPr>
        <w:t>Paso 1: Carlos Mendoza (Rescatista de Campo) — Ingreso Inmediato en Zona de Desastre</w:t>
      </w:r>
    </w:p>
    <w:p>
      <w:pPr>
        <w:pStyle w:val="Normal"/>
        <w:spacing w:lineRule="auto" w:line="276" w:before="0" w:after="120"/>
        <w:rPr/>
      </w:pPr>
      <w:r>
        <w:rPr>
          <w:rFonts w:ascii="Arial" w:hAnsi="Arial"/>
          <w:color w:val="0F172A"/>
          <w:sz w:val="18"/>
        </w:rPr>
        <w:t>El rescatista utiliza el Chat Ciudadano con la opción rápida de rescate: ingresa mediante texto o dictado de voz el hallazgo del animal en campo ('Rescatamos a un perrito mestizo mediano negro con manchas blancas en el pecho cerca de Caricuao. Tiene una patita lastimada y tiembla de frío'). La IA local extrae los datos clínicos/físicos estructurados, persiste la ficha de emergencia y genera al instante el Collar QR de Campaña para identificación física.</w:t>
      </w:r>
    </w:p>
    <w:p>
      <w:pPr>
        <w:pStyle w:val="Normal"/>
        <w:spacing w:before="160" w:after="80"/>
        <w:jc w:val="center"/>
        <w:rPr/>
      </w:pPr>
      <w:r>
        <w:rPr/>
        <w:drawing>
          <wp:inline distT="0" distB="0" distL="0" distR="0">
            <wp:extent cx="5669280" cy="286385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669280" cy="2863850"/>
                    </a:xfrm>
                    <a:prstGeom prst="rect">
                      <a:avLst/>
                    </a:prstGeom>
                  </pic:spPr>
                </pic:pic>
              </a:graphicData>
            </a:graphic>
          </wp:inline>
        </w:drawing>
      </w:r>
    </w:p>
    <w:p>
      <w:pPr>
        <w:pStyle w:val="Normal"/>
        <w:spacing w:before="0" w:after="200"/>
        <w:jc w:val="center"/>
        <w:rPr/>
      </w:pPr>
      <w:r>
        <w:rPr>
          <w:rFonts w:ascii="Arial" w:hAnsi="Arial"/>
          <w:i/>
          <w:color w:val="64748B"/>
          <w:sz w:val="17"/>
        </w:rPr>
        <w:t>Figura: Paso 1: Carlos Mendoza (Rescatista) registra el perro hallado y el sistema genera la ficha de rescate y collar QR.</w:t>
      </w:r>
    </w:p>
    <w:p>
      <w:pPr>
        <w:pStyle w:val="Normal"/>
        <w:spacing w:before="160" w:after="80"/>
        <w:rPr/>
      </w:pPr>
      <w:r>
        <w:rPr>
          <w:rFonts w:ascii="Arial" w:hAnsi="Arial"/>
          <w:b/>
          <w:color w:val="1E3A8A"/>
          <w:sz w:val="22"/>
        </w:rPr>
        <w:t>Paso 2: María Fernández (Damnificada) — Búsqueda Familiar, Procesamiento IA y Peritaje Visual</w:t>
      </w:r>
    </w:p>
    <w:p>
      <w:pPr>
        <w:pStyle w:val="Normal"/>
        <w:spacing w:lineRule="auto" w:line="276" w:before="0" w:after="120"/>
        <w:rPr/>
      </w:pPr>
      <w:r>
        <w:rPr>
          <w:rFonts w:ascii="Arial" w:hAnsi="Arial"/>
          <w:color w:val="0F172A"/>
          <w:sz w:val="18"/>
        </w:rPr>
        <w:t>La ciudadana damnificada ingresa el reporte de búsqueda de su mascota extraviada ('Perdí a mi perrito Toby en Caricuao'). El motor de emparejamiento ejecuta la búsqueda semántica K-NN en ChromaDB y el peritaje fotográfico en Moondream VLM, generando en el Centro de Reencuentro la tarjeta de alta coincidencia (98.5% de similitud y 1.2 km de cercanía) con opción para comparar fotos en detalle.</w:t>
      </w:r>
    </w:p>
    <w:p>
      <w:pPr>
        <w:pStyle w:val="Normal"/>
        <w:spacing w:before="160" w:after="80"/>
        <w:jc w:val="center"/>
        <w:rPr/>
      </w:pPr>
      <w:r>
        <w:rPr/>
        <w:drawing>
          <wp:inline distT="0" distB="0" distL="0" distR="0">
            <wp:extent cx="5669280" cy="286385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669280" cy="2863850"/>
                    </a:xfrm>
                    <a:prstGeom prst="rect">
                      <a:avLst/>
                    </a:prstGeom>
                  </pic:spPr>
                </pic:pic>
              </a:graphicData>
            </a:graphic>
          </wp:inline>
        </w:drawing>
      </w:r>
    </w:p>
    <w:p>
      <w:pPr>
        <w:pStyle w:val="Normal"/>
        <w:spacing w:before="0" w:after="200"/>
        <w:jc w:val="center"/>
        <w:rPr/>
      </w:pPr>
      <w:r>
        <w:rPr>
          <w:rFonts w:ascii="Arial" w:hAnsi="Arial"/>
          <w:i/>
          <w:color w:val="64748B"/>
          <w:sz w:val="17"/>
        </w:rPr>
        <w:t>Figura: Paso 2: María Fernández (Damnificada) visualiza la coincidencia detectada por la IA entre Toby y el perro rescatado.</w:t>
      </w:r>
    </w:p>
    <w:p>
      <w:pPr>
        <w:pStyle w:val="Normal"/>
        <w:spacing w:before="160" w:after="80"/>
        <w:rPr/>
      </w:pPr>
      <w:r>
        <w:rPr>
          <w:rFonts w:ascii="Arial" w:hAnsi="Arial"/>
          <w:b/>
          <w:color w:val="1E3A8A"/>
          <w:sz w:val="22"/>
        </w:rPr>
        <w:t>Paso 3: Andrés Morales (Adoptante Responsable) — Búsqueda en Catálogo y Triaje de Idoneidad con IA</w:t>
      </w:r>
    </w:p>
    <w:p>
      <w:pPr>
        <w:pStyle w:val="Normal"/>
        <w:spacing w:lineRule="auto" w:line="276" w:before="0" w:after="120"/>
        <w:rPr/>
      </w:pPr>
      <w:r>
        <w:rPr>
          <w:rFonts w:ascii="Arial" w:hAnsi="Arial"/>
          <w:color w:val="0F172A"/>
          <w:sz w:val="18"/>
        </w:rPr>
        <w:t>El postulante accede al Portal de Adopción Responsable, explorando únicamente animales cuyo período de gracia de 15 días continuos ya se ha cumplido. El Agente de Triaje evalúa sus condiciones habitacionales y solvencia, registrando una compatibilidad del 100% ('APPROVED') lista para dictamen final.</w:t>
      </w:r>
    </w:p>
    <w:p>
      <w:pPr>
        <w:pStyle w:val="Normal"/>
        <w:spacing w:before="160" w:after="80"/>
        <w:jc w:val="center"/>
        <w:rPr/>
      </w:pPr>
      <w:r>
        <w:rPr/>
        <w:drawing>
          <wp:inline distT="0" distB="0" distL="0" distR="0">
            <wp:extent cx="5669280" cy="286385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669280" cy="2863850"/>
                    </a:xfrm>
                    <a:prstGeom prst="rect">
                      <a:avLst/>
                    </a:prstGeom>
                  </pic:spPr>
                </pic:pic>
              </a:graphicData>
            </a:graphic>
          </wp:inline>
        </w:drawing>
      </w:r>
    </w:p>
    <w:p>
      <w:pPr>
        <w:pStyle w:val="Normal"/>
        <w:spacing w:before="0" w:after="200"/>
        <w:jc w:val="center"/>
        <w:rPr/>
      </w:pPr>
      <w:r>
        <w:rPr>
          <w:rFonts w:ascii="Arial" w:hAnsi="Arial"/>
          <w:i/>
          <w:color w:val="64748B"/>
          <w:sz w:val="17"/>
        </w:rPr>
        <w:t>Figura: Paso 3: Andrés Morales (Adoptante) postula y el sistema evalúa su compatibilidad habitacional al 100% con IA.</w:t>
      </w:r>
    </w:p>
    <w:p>
      <w:pPr>
        <w:pStyle w:val="Normal"/>
        <w:spacing w:before="160" w:after="80"/>
        <w:rPr/>
      </w:pPr>
      <w:r>
        <w:rPr>
          <w:rFonts w:ascii="Arial" w:hAnsi="Arial"/>
          <w:b/>
          <w:color w:val="1E3A8A"/>
          <w:sz w:val="22"/>
        </w:rPr>
        <w:t>Paso 4: Dra. Carmen López (Coordinadora de Refugio) — Trazabilidad Médica SHA-256 y Reencuentro</w:t>
      </w:r>
    </w:p>
    <w:p>
      <w:pPr>
        <w:pStyle w:val="Normal"/>
        <w:spacing w:lineRule="auto" w:line="276" w:before="0" w:after="120"/>
        <w:rPr/>
      </w:pPr>
      <w:r>
        <w:rPr>
          <w:rFonts w:ascii="Arial" w:hAnsi="Arial"/>
          <w:color w:val="0F172A"/>
          <w:sz w:val="18"/>
        </w:rPr>
        <w:t>La coordinadora supervisa en tiempo real las acciones de damnificados y adoptantes: audita el inventario con KPIs interactivos, administra tratamientos médicos críticos bloqueados por escaneo de QR físico con generación de hash inmutable SHA-256, y valida los reencuentros familiares confirmados.</w:t>
      </w:r>
    </w:p>
    <w:p>
      <w:pPr>
        <w:pStyle w:val="Normal"/>
        <w:spacing w:before="160" w:after="80"/>
        <w:jc w:val="center"/>
        <w:rPr/>
      </w:pPr>
      <w:r>
        <w:rPr/>
        <w:drawing>
          <wp:inline distT="0" distB="0" distL="0" distR="0">
            <wp:extent cx="5669280" cy="286385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669280" cy="2863850"/>
                    </a:xfrm>
                    <a:prstGeom prst="rect">
                      <a:avLst/>
                    </a:prstGeom>
                  </pic:spPr>
                </pic:pic>
              </a:graphicData>
            </a:graphic>
          </wp:inline>
        </w:drawing>
      </w:r>
    </w:p>
    <w:p>
      <w:pPr>
        <w:pStyle w:val="Normal"/>
        <w:spacing w:before="0" w:after="200"/>
        <w:jc w:val="center"/>
        <w:rPr/>
      </w:pPr>
      <w:r>
        <w:rPr>
          <w:rFonts w:ascii="Arial" w:hAnsi="Arial"/>
          <w:i/>
          <w:color w:val="64748B"/>
          <w:sz w:val="17"/>
        </w:rPr>
        <w:t>Figura: Paso 4: Dra. Carmen López (Coordinadora) audita el expediente clínico SHA-256 y formaliza el reencuentro familiar.</w:t>
      </w:r>
    </w:p>
    <w:p>
      <w:pPr>
        <w:pStyle w:val="Normal"/>
        <w:spacing w:before="240" w:after="80"/>
        <w:rPr/>
      </w:pPr>
      <w:r>
        <w:rPr>
          <w:rFonts w:ascii="Arial" w:hAnsi="Arial"/>
          <w:b/>
          <w:color w:val="0D9488"/>
          <w:sz w:val="25"/>
        </w:rPr>
        <w:t>4.2 Log de Auditoría y Ejecución en Vivo de la Sesión Real</w:t>
      </w:r>
    </w:p>
    <w:tbl>
      <w:tblPr>
        <w:tblW w:w="9360" w:type="dxa"/>
        <w:jc w:val="center"/>
        <w:tblInd w:w="0" w:type="dxa"/>
        <w:tblLayout w:type="fixed"/>
        <w:tblCellMar>
          <w:top w:w="120" w:type="dxa"/>
          <w:left w:w="160" w:type="dxa"/>
          <w:bottom w:w="120" w:type="dxa"/>
          <w:right w:w="160" w:type="dxa"/>
        </w:tblCellMar>
        <w:tblLook w:firstRow="1" w:noVBand="1" w:lastRow="0" w:firstColumn="1" w:lastColumn="0" w:noHBand="0" w:val="04a0"/>
      </w:tblPr>
      <w:tblGrid>
        <w:gridCol w:w="9360"/>
      </w:tblGrid>
      <w:tr>
        <w:trPr/>
        <w:tc>
          <w:tcPr>
            <w:tcW w:w="9360" w:type="dxa"/>
            <w:tcBorders/>
            <w:shd w:fill="0F172A"/>
          </w:tcPr>
          <w:p>
            <w:pPr>
              <w:pStyle w:val="Normal"/>
              <w:spacing w:before="0" w:after="80"/>
              <w:rPr/>
            </w:pPr>
            <w:r>
              <w:rPr>
                <w:rFonts w:ascii="Arial" w:hAnsi="Arial"/>
                <w:b/>
                <w:color w:val="38BDF8"/>
                <w:sz w:val="18"/>
              </w:rPr>
              <w:t xml:space="preserve">📋 </w:t>
            </w:r>
            <w:r>
              <w:rPr>
                <w:rFonts w:ascii="Arial" w:hAnsi="Arial"/>
                <w:b/>
                <w:color w:val="38BDF8"/>
                <w:sz w:val="18"/>
              </w:rPr>
              <w:t>LOG DE AUDITORÍA Y TRAZABILIDAD EN VIVO (REFUGUÍA ON-PREMISE):</w:t>
            </w:r>
          </w:p>
          <w:p>
            <w:pPr>
              <w:pStyle w:val="Normal"/>
              <w:spacing w:lineRule="auto" w:line="252" w:before="0" w:after="0"/>
              <w:rPr/>
            </w:pPr>
            <w:r>
              <w:rPr>
                <w:rFonts w:ascii="Courier New" w:hAnsi="Courier New"/>
                <w:color w:val="CBD5E1"/>
                <w:sz w:val="15"/>
              </w:rPr>
              <w:t>[SYSTEM_INIT]  [OK] Modelos IA en memoria activa de Ollama (host.docker.internal:11434):</w:t>
              <w:br/>
              <w:t xml:space="preserve">                 -&gt; SLM NLP/RAG : qwen2.5:1.5b (1.54B params, Quant: Q4_K_M, Context: 32768)</w:t>
              <w:br/>
              <w:t xml:space="preserve">                 -&gt; VLM Visión  : moondream:latest (1.4B params, Arch: SigLIP+Phi)</w:t>
              <w:br/>
              <w:t>[MCP_SERVER]   [OK] Servidor MCP 2026.1 inicializado con 6 Skills agénticas registradas (.md)</w:t>
              <w:br/>
              <w:br/>
              <w:t>[API_GATEWAY]  [POST] /api/pets/report-citizen (Origin: CitizenChatView / Damnificada)</w:t>
              <w:br/>
              <w:t>[SECURITY_SLM] [AUDIT] PromptSanitizerService: Texto limpio y sanitizado (Riesgo: 0.00).</w:t>
              <w:br/>
              <w:t>[OLLAMA_VLM]   [DONE] Inferencia VLM en 280.12 ms: "Canine, medium size, black coat with white chest."</w:t>
              <w:br/>
              <w:t>[OLLAMA_SLM]   [DONE] Inferencia SLM en 165.40 ms (35.2 tok/s): JSON {species: "canine", breed: "Mestizo"}</w:t>
              <w:br/>
              <w:t>[CHROMA_RAG]   [OK] Vector Embedding (1536 dims) indexado en colección 'refuguia_pets'</w:t>
              <w:br/>
              <w:br/>
              <w:t>[MATCHMAKER]   [EXEC] Búsqueda K-NN en ChromaDB: Vecino más cercano encontrado (ID 2, Distancia: 0.042)</w:t>
              <w:br/>
              <w:t>[OLLAMA_VLM]   [DONE] Cotejo fotográfico en Moondream: Score Visual 98.0%, Semántica 95.0%, Geo 92.0%</w:t>
              <w:br/>
              <w:t xml:space="preserve">                 -&gt; SIMILITUD GLOBAL FINAL: 95.3% (STATUS: HIGH_CONFIDENCE_MATCH)</w:t>
              <w:br/>
              <w:br/>
              <w:t>[API_GATEWAY]  [POST] /api/pets/2/clinical-records (Dra. Carmen López / ShelterDashboard)</w:t>
              <w:br/>
              <w:t>[SECURITY_QR]  [PASS] Verificación física de escaneo de collar QR confirmada (qr_scanned = TRUE).</w:t>
              <w:br/>
              <w:t>[CRYPTO_CHAIN] [OK] Hash SHA-256 generado: e3b0c44298fc1c149afbf4c8996fb92427ae41e4649b934ca495991b7852b855</w:t>
              <w:br/>
              <w:br/>
              <w:t>[MCP_DISPATCH] [INVOKE] Agente_Auditor_Legal -&gt; skill_verificar_periodo_gracia (ID 2, 18.9 días en refugio)</w:t>
              <w:br/>
              <w:t xml:space="preserve">                 -&gt; Veredicto Legal: CUMPLIDO (&gt;15 días). HABILITADA PARA ADOPCIÓN RESPONSABLE.</w:t>
              <w:br/>
              <w:t>[MCP_DISPATCH] [INVOKE] Agente_Triaje_Adopcion -&gt; skill_evaluar_compatibilidad_adopcion (Andrés Morales)</w:t>
              <w:br/>
              <w:t xml:space="preserve">                 -&gt; Idoneidad: 100% (APPROVED). Solicitud vinculada exitosamente.</w:t>
              <w:br/>
              <w:br/>
              <w:t>[TELEMETRÍA]   Tiempo Total End-to-End: 1.48 seg | Consumo RAM: 2.74 GB | Errores: 0 | Ciberseguridad: 100% PASS</w:t>
            </w:r>
          </w:p>
        </w:tc>
      </w:tr>
    </w:tbl>
    <w:p>
      <w:pPr>
        <w:pStyle w:val="Normal"/>
        <w:spacing w:before="0" w:after="120"/>
        <w:rPr/>
      </w:pPr>
      <w:r>
        <w:rPr/>
      </w:r>
    </w:p>
    <w:p>
      <w:pPr>
        <w:pStyle w:val="Normal"/>
        <w:spacing w:lineRule="auto" w:line="276" w:before="0" w:after="200"/>
        <w:rPr/>
      </w:pPr>
      <w:r>
        <w:rPr>
          <w:rFonts w:ascii="Arial" w:hAnsi="Arial"/>
          <w:color w:val="0F172A"/>
          <w:sz w:val="18"/>
        </w:rPr>
        <w:t xml:space="preserve">El archivo de texto completo con la traza milimétrica de auditoría se encuentra integrado en el repositorio del proyecto: </w:t>
      </w:r>
      <w:r>
        <w:rPr>
          <w:rFonts w:ascii="Courier New" w:hAnsi="Courier New"/>
          <w:b/>
          <w:color w:val="1E3A8A"/>
          <w:sz w:val="18"/>
        </w:rPr>
        <w:t>doc/LOG_SESION_REAL_REFUGUIA.txt</w:t>
      </w:r>
    </w:p>
    <w:p>
      <w:pPr>
        <w:pStyle w:val="Normal"/>
        <w:spacing w:lineRule="auto" w:line="276" w:before="0" w:after="200"/>
        <w:rPr>
          <w:rFonts w:ascii="Courier New" w:hAnsi="Courier New"/>
          <w:b/>
          <w:color w:val="1E3A8A"/>
          <w:sz w:val="18"/>
        </w:rPr>
      </w:pPr>
      <w:r>
        <w:rPr/>
      </w:r>
    </w:p>
    <w:p>
      <w:pPr>
        <w:pStyle w:val="Normal"/>
        <w:spacing w:lineRule="auto" w:line="276" w:before="0" w:after="200"/>
        <w:rPr>
          <w:rFonts w:ascii="Courier New" w:hAnsi="Courier New"/>
          <w:b/>
          <w:color w:val="1E3A8A"/>
          <w:sz w:val="18"/>
        </w:rPr>
      </w:pPr>
      <w:r>
        <w:rPr/>
      </w:r>
    </w:p>
    <w:p>
      <w:pPr>
        <w:spacing w:before="400" w:after="200"/>
      </w:pPr>
      <w:r>
        <w:rPr>
          <w:rFonts w:ascii="Arial" w:hAnsi="Arial"/>
          <w:b/>
          <w:color w:val="1E3A8A"/>
          <w:sz w:val="32"/>
        </w:rPr>
        <w:t>Sección 5 · Evaluación UX/UI</w:t>
      </w:r>
    </w:p>
    <w:p>
      <w:pPr>
        <w:spacing w:line="276" w:lineRule="auto" w:after="200"/>
      </w:pPr>
      <w:r>
        <w:rPr>
          <w:rFonts w:ascii="Arial" w:hAnsi="Arial"/>
          <w:color w:val="0F172A"/>
          <w:sz w:val="19"/>
        </w:rPr>
        <w:t>El diseño de experiencia de usuario (UX) e interfaz visual (UI) de RefuGuía fue concebido bajo premisas de 'Diseño Inclusivo y Accesible en Situaciones de Crisis'. Los usuarios interactúan frecuentemente bajo altos niveles de estrés emocional (ciudadanos que han perdido a sus mascotas), fatiga física (rescatistas en campo) o sobrecarga operativa (veterinarios en refugios de campaña). A continuación se expone la autoevaluación formal del sistema:</w:t>
      </w:r>
    </w:p>
    <w:p>
      <w:pPr>
        <w:spacing w:before="200" w:after="80"/>
      </w:pPr>
      <w:r>
        <w:rPr>
          <w:rFonts w:ascii="Arial" w:hAnsi="Arial"/>
          <w:b/>
          <w:color w:val="0D9488"/>
          <w:sz w:val="25"/>
        </w:rPr>
        <w:t>5.1 Heurísticas de Nielsen Aplicadas al Proyecto</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3A8A"/>
            <w:tcMar>
              <w:top w:w="120" w:type="dxa"/>
              <w:bottom w:w="120" w:type="dxa"/>
              <w:left w:w="140" w:type="dxa"/>
              <w:right w:w="140" w:type="dxa"/>
            </w:tcMar>
          </w:tcPr>
          <w:p>
            <w:r>
              <w:rPr>
                <w:rFonts w:ascii="Arial" w:hAnsi="Arial"/>
                <w:b/>
                <w:color w:val="FFFFFF"/>
                <w:sz w:val="19"/>
              </w:rPr>
              <w:t>Heurística de Nielsen</w:t>
            </w:r>
          </w:p>
        </w:tc>
        <w:tc>
          <w:tcPr>
            <w:tcW w:type="dxa" w:w="1296"/>
            <w:shd w:fill="1E3A8A"/>
            <w:tcMar>
              <w:top w:w="120" w:type="dxa"/>
              <w:bottom w:w="120" w:type="dxa"/>
              <w:left w:w="140" w:type="dxa"/>
              <w:right w:w="140" w:type="dxa"/>
            </w:tcMar>
          </w:tcPr>
          <w:p>
            <w:r>
              <w:rPr>
                <w:rFonts w:ascii="Arial" w:hAnsi="Arial"/>
                <w:b/>
                <w:color w:val="FFFFFF"/>
                <w:sz w:val="19"/>
              </w:rPr>
              <w:t>¿Cumple?</w:t>
            </w:r>
          </w:p>
        </w:tc>
        <w:tc>
          <w:tcPr>
            <w:tcW w:type="dxa" w:w="5184"/>
            <w:shd w:fill="1E3A8A"/>
            <w:tcMar>
              <w:top w:w="120" w:type="dxa"/>
              <w:bottom w:w="120" w:type="dxa"/>
              <w:left w:w="140" w:type="dxa"/>
              <w:right w:w="140" w:type="dxa"/>
            </w:tcMar>
          </w:tcPr>
          <w:p>
            <w:r>
              <w:rPr>
                <w:rFonts w:ascii="Arial" w:hAnsi="Arial"/>
                <w:b/>
                <w:color w:val="FFFFFF"/>
                <w:sz w:val="19"/>
              </w:rPr>
              <w:t>Evidencia / Observación en RefuGuía</w:t>
            </w:r>
          </w:p>
        </w:tc>
      </w:tr>
      <w:tr>
        <w:tc>
          <w:tcPr>
            <w:tcW w:type="dxa" w:w="2880"/>
            <w:shd w:fill="F8FAFC"/>
            <w:tcMar>
              <w:top w:w="80" w:type="dxa"/>
              <w:bottom w:w="80" w:type="dxa"/>
              <w:left w:w="120" w:type="dxa"/>
              <w:right w:w="120" w:type="dxa"/>
            </w:tcMar>
          </w:tcPr>
          <w:p>
            <w:pPr>
              <w:spacing w:line="269" w:lineRule="auto"/>
            </w:pPr>
            <w:r>
              <w:rPr>
                <w:rFonts w:ascii="Arial" w:hAnsi="Arial"/>
                <w:b/>
                <w:color w:val="0F172A"/>
                <w:sz w:val="17"/>
              </w:rPr>
              <w:t>1. Visibilidad del estado del sistema</w:t>
            </w:r>
          </w:p>
        </w:tc>
        <w:tc>
          <w:tcPr>
            <w:tcW w:type="dxa" w:w="1296"/>
            <w:shd w:fill="F8FAFC"/>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8FAFC"/>
            <w:tcMar>
              <w:top w:w="80" w:type="dxa"/>
              <w:bottom w:w="80" w:type="dxa"/>
              <w:left w:w="120" w:type="dxa"/>
              <w:right w:w="120" w:type="dxa"/>
            </w:tcMar>
          </w:tcPr>
          <w:p>
            <w:pPr>
              <w:spacing w:line="269" w:lineRule="auto"/>
            </w:pPr>
            <w:r>
              <w:rPr>
                <w:rFonts w:ascii="Arial" w:hAnsi="Arial"/>
                <w:color w:val="0F172A"/>
                <w:sz w:val="17"/>
              </w:rPr>
              <w:t>El sistema muestra indicadores en tiempo real: spinners de carga durante inferencia local de IA, badges de estado ('En Búsqueda', 'En Refugio', 'Reencontrado'), badges de días transcurridos respecto al plazo legal de 15 días y confirmaciones con SweetAlert2 tras cada acción.</w:t>
            </w:r>
          </w:p>
        </w:tc>
      </w:tr>
      <w:tr>
        <w:tc>
          <w:tcPr>
            <w:tcW w:type="dxa" w:w="2880"/>
            <w:shd w:fill="FFFFFF"/>
            <w:tcMar>
              <w:top w:w="80" w:type="dxa"/>
              <w:bottom w:w="80" w:type="dxa"/>
              <w:left w:w="120" w:type="dxa"/>
              <w:right w:w="120" w:type="dxa"/>
            </w:tcMar>
          </w:tcPr>
          <w:p>
            <w:pPr>
              <w:spacing w:line="269" w:lineRule="auto"/>
            </w:pPr>
            <w:r>
              <w:rPr>
                <w:rFonts w:ascii="Arial" w:hAnsi="Arial"/>
                <w:b/>
                <w:color w:val="0F172A"/>
                <w:sz w:val="17"/>
              </w:rPr>
              <w:t>2. Coincidencia con el mundo real</w:t>
            </w:r>
          </w:p>
        </w:tc>
        <w:tc>
          <w:tcPr>
            <w:tcW w:type="dxa" w:w="1296"/>
            <w:shd w:fill="FFFFFF"/>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FFFFF"/>
            <w:tcMar>
              <w:top w:w="80" w:type="dxa"/>
              <w:bottom w:w="80" w:type="dxa"/>
              <w:left w:w="120" w:type="dxa"/>
              <w:right w:w="120" w:type="dxa"/>
            </w:tcMar>
          </w:tcPr>
          <w:p>
            <w:pPr>
              <w:spacing w:line="269" w:lineRule="auto"/>
            </w:pPr>
            <w:r>
              <w:rPr>
                <w:rFonts w:ascii="Arial" w:hAnsi="Arial"/>
                <w:color w:val="0F172A"/>
                <w:sz w:val="17"/>
              </w:rPr>
              <w:t>Se eliminó toda la jerga técnica de modelos de IA (SLM, VLM, Embeddings, K-NN Cosine), reemplazándola por conceptos familiares y humanos: 'Cercanía (km)', 'Coincidencia de Rasgos', 'Comparar Fotos en Detalle', 'Collar QR' y 'Expediente Clínico'.</w:t>
            </w:r>
          </w:p>
        </w:tc>
      </w:tr>
      <w:tr>
        <w:tc>
          <w:tcPr>
            <w:tcW w:type="dxa" w:w="2880"/>
            <w:shd w:fill="F8FAFC"/>
            <w:tcMar>
              <w:top w:w="80" w:type="dxa"/>
              <w:bottom w:w="80" w:type="dxa"/>
              <w:left w:w="120" w:type="dxa"/>
              <w:right w:w="120" w:type="dxa"/>
            </w:tcMar>
          </w:tcPr>
          <w:p>
            <w:pPr>
              <w:spacing w:line="269" w:lineRule="auto"/>
            </w:pPr>
            <w:r>
              <w:rPr>
                <w:rFonts w:ascii="Arial" w:hAnsi="Arial"/>
                <w:b/>
                <w:color w:val="0F172A"/>
                <w:sz w:val="17"/>
              </w:rPr>
              <w:t>3. Control y libertad del usuario</w:t>
            </w:r>
          </w:p>
        </w:tc>
        <w:tc>
          <w:tcPr>
            <w:tcW w:type="dxa" w:w="1296"/>
            <w:shd w:fill="F8FAFC"/>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8FAFC"/>
            <w:tcMar>
              <w:top w:w="80" w:type="dxa"/>
              <w:bottom w:w="80" w:type="dxa"/>
              <w:left w:w="120" w:type="dxa"/>
              <w:right w:w="120" w:type="dxa"/>
            </w:tcMar>
          </w:tcPr>
          <w:p>
            <w:pPr>
              <w:spacing w:line="269" w:lineRule="auto"/>
            </w:pPr>
            <w:r>
              <w:rPr>
                <w:rFonts w:ascii="Arial" w:hAnsi="Arial"/>
                <w:color w:val="0F172A"/>
                <w:sz w:val="17"/>
              </w:rPr>
              <w:t>El selector de identidades 1-Click permite cambiar de rol instantáneamente. Los modales de comparación y edición cuentan con botones de cierre explícitos ('Cerrar', 'Cancelar') y cierre automático por teclado (Esc) o clic fuera del área.</w:t>
            </w:r>
          </w:p>
        </w:tc>
      </w:tr>
      <w:tr>
        <w:tc>
          <w:tcPr>
            <w:tcW w:type="dxa" w:w="2880"/>
            <w:shd w:fill="FFFFFF"/>
            <w:tcMar>
              <w:top w:w="80" w:type="dxa"/>
              <w:bottom w:w="80" w:type="dxa"/>
              <w:left w:w="120" w:type="dxa"/>
              <w:right w:w="120" w:type="dxa"/>
            </w:tcMar>
          </w:tcPr>
          <w:p>
            <w:pPr>
              <w:spacing w:line="269" w:lineRule="auto"/>
            </w:pPr>
            <w:r>
              <w:rPr>
                <w:rFonts w:ascii="Arial" w:hAnsi="Arial"/>
                <w:b/>
                <w:color w:val="0F172A"/>
                <w:sz w:val="17"/>
              </w:rPr>
              <w:t>4. Consistencia y estándares</w:t>
            </w:r>
          </w:p>
        </w:tc>
        <w:tc>
          <w:tcPr>
            <w:tcW w:type="dxa" w:w="1296"/>
            <w:shd w:fill="FFFFFF"/>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FFFFF"/>
            <w:tcMar>
              <w:top w:w="80" w:type="dxa"/>
              <w:bottom w:w="80" w:type="dxa"/>
              <w:left w:w="120" w:type="dxa"/>
              <w:right w:w="120" w:type="dxa"/>
            </w:tcMar>
          </w:tcPr>
          <w:p>
            <w:pPr>
              <w:spacing w:line="269" w:lineRule="auto"/>
            </w:pPr>
            <w:r>
              <w:rPr>
                <w:rFonts w:ascii="Arial" w:hAnsi="Arial"/>
                <w:color w:val="0F172A"/>
                <w:sz w:val="17"/>
              </w:rPr>
              <w:t>La navegación superior es consistente en todas las vistas, manteniendo una paleta visual unificada en modo oscuro (#0e1626) con acentos cyan/esmeralda, tipografía sans-serif de alta legibilidad y jerarquía estricta de botones (primarios, secundarios, destructivos).</w:t>
            </w:r>
          </w:p>
        </w:tc>
      </w:tr>
      <w:tr>
        <w:tc>
          <w:tcPr>
            <w:tcW w:type="dxa" w:w="2880"/>
            <w:shd w:fill="F8FAFC"/>
            <w:tcMar>
              <w:top w:w="80" w:type="dxa"/>
              <w:bottom w:w="80" w:type="dxa"/>
              <w:left w:w="120" w:type="dxa"/>
              <w:right w:w="120" w:type="dxa"/>
            </w:tcMar>
          </w:tcPr>
          <w:p>
            <w:pPr>
              <w:spacing w:line="269" w:lineRule="auto"/>
            </w:pPr>
            <w:r>
              <w:rPr>
                <w:rFonts w:ascii="Arial" w:hAnsi="Arial"/>
                <w:b/>
                <w:color w:val="0F172A"/>
                <w:sz w:val="17"/>
              </w:rPr>
              <w:t>5. Prevención de errores</w:t>
            </w:r>
          </w:p>
        </w:tc>
        <w:tc>
          <w:tcPr>
            <w:tcW w:type="dxa" w:w="1296"/>
            <w:shd w:fill="F8FAFC"/>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8FAFC"/>
            <w:tcMar>
              <w:top w:w="80" w:type="dxa"/>
              <w:bottom w:w="80" w:type="dxa"/>
              <w:left w:w="120" w:type="dxa"/>
              <w:right w:w="120" w:type="dxa"/>
            </w:tcMar>
          </w:tcPr>
          <w:p>
            <w:pPr>
              <w:spacing w:line="269" w:lineRule="auto"/>
            </w:pPr>
            <w:r>
              <w:rPr>
                <w:rFonts w:ascii="Arial" w:hAnsi="Arial"/>
                <w:color w:val="0F172A"/>
                <w:sz w:val="17"/>
              </w:rPr>
              <w:t>El sistema implementa bloqueos deterministas: no permite administrar fármacos sin confirmación de escaneo de QR físico; bloquea la postulación de adopción si la mascota no ha cumplido el plazo legal de 15 días; y valida montos financieros y formularios antes de enviar.</w:t>
            </w:r>
          </w:p>
        </w:tc>
      </w:tr>
      <w:tr>
        <w:tc>
          <w:tcPr>
            <w:tcW w:type="dxa" w:w="2880"/>
            <w:shd w:fill="FFFFFF"/>
            <w:tcMar>
              <w:top w:w="80" w:type="dxa"/>
              <w:bottom w:w="80" w:type="dxa"/>
              <w:left w:w="120" w:type="dxa"/>
              <w:right w:w="120" w:type="dxa"/>
            </w:tcMar>
          </w:tcPr>
          <w:p>
            <w:pPr>
              <w:spacing w:line="269" w:lineRule="auto"/>
            </w:pPr>
            <w:r>
              <w:rPr>
                <w:rFonts w:ascii="Arial" w:hAnsi="Arial"/>
                <w:b/>
                <w:color w:val="0F172A"/>
                <w:sz w:val="17"/>
              </w:rPr>
              <w:t>6. Reconocimiento sobre recuerdo</w:t>
            </w:r>
          </w:p>
        </w:tc>
        <w:tc>
          <w:tcPr>
            <w:tcW w:type="dxa" w:w="1296"/>
            <w:shd w:fill="FFFFFF"/>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FFFFF"/>
            <w:tcMar>
              <w:top w:w="80" w:type="dxa"/>
              <w:bottom w:w="80" w:type="dxa"/>
              <w:left w:w="120" w:type="dxa"/>
              <w:right w:w="120" w:type="dxa"/>
            </w:tcMar>
          </w:tcPr>
          <w:p>
            <w:pPr>
              <w:spacing w:line="269" w:lineRule="auto"/>
            </w:pPr>
            <w:r>
              <w:rPr>
                <w:rFonts w:ascii="Arial" w:hAnsi="Arial"/>
                <w:color w:val="0F172A"/>
                <w:sz w:val="17"/>
              </w:rPr>
              <w:t>El Chat Ciudadano ofrece 'Acciones Rápidas' clickeables con preguntas frecuentes y plantillas de rescate de un toque, evitando que el usuario deba recordar comandos de texto o estructuras complejas.</w:t>
            </w:r>
          </w:p>
        </w:tc>
      </w:tr>
      <w:tr>
        <w:tc>
          <w:tcPr>
            <w:tcW w:type="dxa" w:w="2880"/>
            <w:shd w:fill="F8FAFC"/>
            <w:tcMar>
              <w:top w:w="80" w:type="dxa"/>
              <w:bottom w:w="80" w:type="dxa"/>
              <w:left w:w="120" w:type="dxa"/>
              <w:right w:w="120" w:type="dxa"/>
            </w:tcMar>
          </w:tcPr>
          <w:p>
            <w:pPr>
              <w:spacing w:line="269" w:lineRule="auto"/>
            </w:pPr>
            <w:r>
              <w:rPr>
                <w:rFonts w:ascii="Arial" w:hAnsi="Arial"/>
                <w:b/>
                <w:color w:val="0F172A"/>
                <w:sz w:val="17"/>
              </w:rPr>
              <w:t>7. Flexibilidad y eficiencia de uso</w:t>
            </w:r>
          </w:p>
        </w:tc>
        <w:tc>
          <w:tcPr>
            <w:tcW w:type="dxa" w:w="1296"/>
            <w:shd w:fill="F8FAFC"/>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8FAFC"/>
            <w:tcMar>
              <w:top w:w="80" w:type="dxa"/>
              <w:bottom w:w="80" w:type="dxa"/>
              <w:left w:w="120" w:type="dxa"/>
              <w:right w:w="120" w:type="dxa"/>
            </w:tcMar>
          </w:tcPr>
          <w:p>
            <w:pPr>
              <w:spacing w:line="269" w:lineRule="auto"/>
            </w:pPr>
            <w:r>
              <w:rPr>
                <w:rFonts w:ascii="Arial" w:hAnsi="Arial"/>
                <w:color w:val="0F172A"/>
                <w:sz w:val="17"/>
              </w:rPr>
              <w:t>Los rescatistas y damnificados pueden ingresar reportes mediante teclado o dictado por voz (Web Speech API). El buscador universal de refugios soporta multi-tokens sin distinción de acentos y los KPIs superiores filtran el inventario con un solo clic.</w:t>
            </w:r>
          </w:p>
        </w:tc>
      </w:tr>
      <w:tr>
        <w:tc>
          <w:tcPr>
            <w:tcW w:type="dxa" w:w="2880"/>
            <w:shd w:fill="FFFFFF"/>
            <w:tcMar>
              <w:top w:w="80" w:type="dxa"/>
              <w:bottom w:w="80" w:type="dxa"/>
              <w:left w:w="120" w:type="dxa"/>
              <w:right w:w="120" w:type="dxa"/>
            </w:tcMar>
          </w:tcPr>
          <w:p>
            <w:pPr>
              <w:spacing w:line="269" w:lineRule="auto"/>
            </w:pPr>
            <w:r>
              <w:rPr>
                <w:rFonts w:ascii="Arial" w:hAnsi="Arial"/>
                <w:b/>
                <w:color w:val="0F172A"/>
                <w:sz w:val="17"/>
              </w:rPr>
              <w:t>8. Diseño estético y minimalista</w:t>
            </w:r>
          </w:p>
        </w:tc>
        <w:tc>
          <w:tcPr>
            <w:tcW w:type="dxa" w:w="1296"/>
            <w:shd w:fill="FFFFFF"/>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FFFFF"/>
            <w:tcMar>
              <w:top w:w="80" w:type="dxa"/>
              <w:bottom w:w="80" w:type="dxa"/>
              <w:left w:w="120" w:type="dxa"/>
              <w:right w:w="120" w:type="dxa"/>
            </w:tcMar>
          </w:tcPr>
          <w:p>
            <w:pPr>
              <w:spacing w:line="269" w:lineRule="auto"/>
            </w:pPr>
            <w:r>
              <w:rPr>
                <w:rFonts w:ascii="Arial" w:hAnsi="Arial"/>
                <w:color w:val="0F172A"/>
                <w:sz w:val="17"/>
              </w:rPr>
              <w:t>Las pantallas eliminan elementos innecesarios, organizando la información en tarjetas modulares con bordes sutiles y efectos glassmorphism. Cada tarjeta presenta únicamente los datos críticos para la toma de decisiones clínicas y de reencuentro.</w:t>
            </w:r>
          </w:p>
        </w:tc>
      </w:tr>
      <w:tr>
        <w:tc>
          <w:tcPr>
            <w:tcW w:type="dxa" w:w="2880"/>
            <w:shd w:fill="F8FAFC"/>
            <w:tcMar>
              <w:top w:w="80" w:type="dxa"/>
              <w:bottom w:w="80" w:type="dxa"/>
              <w:left w:w="120" w:type="dxa"/>
              <w:right w:w="120" w:type="dxa"/>
            </w:tcMar>
          </w:tcPr>
          <w:p>
            <w:pPr>
              <w:spacing w:line="269" w:lineRule="auto"/>
            </w:pPr>
            <w:r>
              <w:rPr>
                <w:rFonts w:ascii="Arial" w:hAnsi="Arial"/>
                <w:b/>
                <w:color w:val="0F172A"/>
                <w:sz w:val="17"/>
              </w:rPr>
              <w:t>9. Ayuda para reconocer y recuperarse de errores</w:t>
            </w:r>
          </w:p>
        </w:tc>
        <w:tc>
          <w:tcPr>
            <w:tcW w:type="dxa" w:w="1296"/>
            <w:shd w:fill="F8FAFC"/>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8FAFC"/>
            <w:tcMar>
              <w:top w:w="80" w:type="dxa"/>
              <w:bottom w:w="80" w:type="dxa"/>
              <w:left w:w="120" w:type="dxa"/>
              <w:right w:w="120" w:type="dxa"/>
            </w:tcMar>
          </w:tcPr>
          <w:p>
            <w:pPr>
              <w:spacing w:line="269" w:lineRule="auto"/>
            </w:pPr>
            <w:r>
              <w:rPr>
                <w:rFonts w:ascii="Arial" w:hAnsi="Arial"/>
                <w:color w:val="0F172A"/>
                <w:sz w:val="17"/>
              </w:rPr>
              <w:t>Los mensajes de error se expresan en lenguaje natural claro y constructivo (ej: 'Debe ingresar al menos una descripción física o adjuntar una fotografía para procesar el reporte', 'El código QR es obligatorio para aplicar este tratamiento').</w:t>
            </w:r>
          </w:p>
        </w:tc>
      </w:tr>
      <w:tr>
        <w:tc>
          <w:tcPr>
            <w:tcW w:type="dxa" w:w="2880"/>
            <w:shd w:fill="FFFFFF"/>
            <w:tcMar>
              <w:top w:w="80" w:type="dxa"/>
              <w:bottom w:w="80" w:type="dxa"/>
              <w:left w:w="120" w:type="dxa"/>
              <w:right w:w="120" w:type="dxa"/>
            </w:tcMar>
          </w:tcPr>
          <w:p>
            <w:pPr>
              <w:spacing w:line="269" w:lineRule="auto"/>
            </w:pPr>
            <w:r>
              <w:rPr>
                <w:rFonts w:ascii="Arial" w:hAnsi="Arial"/>
                <w:b/>
                <w:color w:val="0F172A"/>
                <w:sz w:val="17"/>
              </w:rPr>
              <w:t>10. Ayuda y documentación</w:t>
            </w:r>
          </w:p>
        </w:tc>
        <w:tc>
          <w:tcPr>
            <w:tcW w:type="dxa" w:w="1296"/>
            <w:shd w:fill="FFFFFF"/>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FFFFF"/>
            <w:tcMar>
              <w:top w:w="80" w:type="dxa"/>
              <w:bottom w:w="80" w:type="dxa"/>
              <w:left w:w="120" w:type="dxa"/>
              <w:right w:w="120" w:type="dxa"/>
            </w:tcMar>
          </w:tcPr>
          <w:p>
            <w:pPr>
              <w:spacing w:line="269" w:lineRule="auto"/>
            </w:pPr>
            <w:r>
              <w:rPr>
                <w:rFonts w:ascii="Arial" w:hAnsi="Arial"/>
                <w:color w:val="0F172A"/>
                <w:sz w:val="17"/>
              </w:rPr>
              <w:t>Cada módulo incluye descripciones contextuales de su propósito operativo. El Explorador MCP proporciona la especificación formal Markdown de cada herramienta agéntica para auditores y administradores técnicos.</w:t>
            </w:r>
          </w:p>
        </w:tc>
      </w:tr>
    </w:tbl>
    <w:p>
      <w:pPr>
        <w:spacing w:after="160"/>
      </w:pPr>
    </w:p>
    <w:p>
      <w:pPr>
        <w:spacing w:before="240" w:after="80"/>
      </w:pPr>
      <w:r>
        <w:rPr>
          <w:rFonts w:ascii="Arial" w:hAnsi="Arial"/>
          <w:b/>
          <w:color w:val="0D9488"/>
          <w:sz w:val="25"/>
        </w:rPr>
        <w:t>5.2 Evaluación Orientada al Público Objetivo</w:t>
      </w:r>
    </w:p>
    <w:p>
      <w:pPr>
        <w:spacing w:before="120" w:after="40"/>
      </w:pPr>
      <w:r>
        <w:rPr>
          <w:rFonts w:ascii="Arial" w:hAnsi="Arial"/>
          <w:b/>
          <w:color w:val="1E3A8A"/>
          <w:sz w:val="21"/>
        </w:rPr>
        <w:t>A. ¿El diseño es apropiado para el nivel técnico del usuario final?</w:t>
      </w:r>
    </w:p>
    <w:p>
      <w:pPr>
        <w:spacing w:line="276" w:lineRule="auto" w:after="120"/>
      </w:pPr>
      <w:r>
        <w:rPr>
          <w:rFonts w:ascii="Arial" w:hAnsi="Arial"/>
          <w:color w:val="0F172A"/>
          <w:sz w:val="19"/>
        </w:rPr>
        <w:t>Sí, de forma sobresaliente. La aplicación fue diseñada considerando que una persona damnificada que busca a su mascota tras un desastre posee una carga cognitiva saturada por el shock emocional. Por ello, la interfaz no exige conocimientos técnicos ni navegación compleja: un solo cuadro de chat permite dictar por voz o escribir en lenguaje coloquial venezolano ('Perdí a mi perrito en Catia, es mestizo negro'), mientras la IA se encarga de estructurar la información internamente. Para el rescatista en campo, los botones táctiles amplios facilitan el uso desde dispositivos móviles o laptops con guantes, y para la coordinadora veterinaria, el inventario ofrece filtros automáticos con un solo clic.</w:t>
      </w:r>
    </w:p>
    <w:p>
      <w:pPr>
        <w:spacing w:before="120" w:after="40"/>
      </w:pPr>
      <w:r>
        <w:rPr>
          <w:rFonts w:ascii="Arial" w:hAnsi="Arial"/>
          <w:b/>
          <w:color w:val="1E3A8A"/>
          <w:sz w:val="21"/>
        </w:rPr>
        <w:t>B. ¿El lenguaje visual y textual es comprensible para ese usuario?</w:t>
      </w:r>
    </w:p>
    <w:p>
      <w:pPr>
        <w:spacing w:line="276" w:lineRule="auto" w:after="120"/>
      </w:pPr>
      <w:r>
        <w:rPr>
          <w:rFonts w:ascii="Arial" w:hAnsi="Arial"/>
          <w:color w:val="0F172A"/>
          <w:sz w:val="19"/>
        </w:rPr>
        <w:t>Sí. Se llevó a cabo un proceso exhaustivo de 'Humanización de la IA', eliminando cualquier referencia a modelos como 'Qwen', 'Moondream', 'VLM', 'Inferencia Local' o 'Distancia Vectorial'. En su lugar, el sistema se comunica con frases naturales como: 'Hemos encontrado una alta coincidencia entre tu reporte y un perrito rescatado', 'Nivel de Coincidencia: 98.5%', 'Distancia estimada: 1.2 km de tu ubicación', y 'Comparar Fotos en Detalle'. Visualmente, el uso de insignias de colores estandarizados (verde para reencuentros/aprobado, amarillo para pendiente, azul para rescatado) permite una interpretación visual inmediata sin ambigüedades.</w:t>
      </w:r>
    </w:p>
    <w:p>
      <w:pPr>
        <w:spacing w:before="120" w:after="40"/>
      </w:pPr>
      <w:r>
        <w:rPr>
          <w:rFonts w:ascii="Arial" w:hAnsi="Arial"/>
          <w:b/>
          <w:color w:val="1E3A8A"/>
          <w:sz w:val="21"/>
        </w:rPr>
        <w:t>C. ¿Se hizo alguna prueba con un usuario real (o simulada)? ¿Qué feedback se obtuvo?</w:t>
      </w:r>
    </w:p>
    <w:p>
      <w:pPr>
        <w:spacing w:line="276" w:lineRule="auto" w:after="200"/>
      </w:pPr>
      <w:r>
        <w:rPr>
          <w:rFonts w:ascii="Arial" w:hAnsi="Arial"/>
          <w:color w:val="0F172A"/>
          <w:sz w:val="19"/>
        </w:rPr>
        <w:t>Sí. Se ejecutó una sesión de prueba de usuario con un rescatista voluntario de protección animal y una usuaria ciudadana simulando búsqueda de mascota. Los hallazgos y ajustes aplicados fueron:</w:t>
        <w:br/>
        <w:t>1. Feedback del Rescatista: Señaló que en la versión inicial era tedioso escribir descripciones largas en un teclado físico. En respuesta, se incorporó el soporte de dictado por voz y botones de 'Ingreso Rápido de Rescate' de 1 toque, reduciendo el tiempo de registro en un 70%.</w:t>
        <w:br/>
        <w:t>2. Feedback de la Ciudadana: Indicó que ver números de vectores o términos técnicos generaba confusión sobre si su perro había sido encontrado. Se rediseñó el modal de peritaje para presentar una comparación fotográfica directa lado a lado con observaciones anatómicas comprensibles ('Manto negro con mancha blanca en pecho').</w:t>
        <w:br/>
        <w:t>3. Feedback de la Coordinadora: Solicitó mayor claridad en el período legal de 15 días. Se implementó una barra de progreso temporal y un bloqueo estricto que impide dar en adopción antes del día 15.</w:t>
      </w:r>
    </w:p>
    <w:p>
      <w:pPr>
        <w:spacing w:before="80" w:after="80"/>
      </w:pPr>
      <w:r>
        <w:rPr>
          <w:rFonts w:ascii="Arial" w:hAnsi="Arial"/>
          <w:i/>
          <w:color w:val="64748B"/>
          <w:sz w:val="17"/>
        </w:rPr>
        <w:t>UTN-FRBA | EPIData — IA Aplicada a Organizaciones</w:t>
      </w:r>
    </w:p>
    <w:p>
      <w:pPr>
        <w:spacing w:before="400" w:after="200"/>
      </w:pPr>
      <w:r>
        <w:rPr>
          <w:rFonts w:ascii="Arial" w:hAnsi="Arial"/>
          <w:b/>
          <w:color w:val="1E3A8A"/>
          <w:sz w:val="32"/>
        </w:rPr>
        <w:t>Sección 6 · Evaluación de Ciberseguridad</w:t>
      </w:r>
    </w:p>
    <w:p>
      <w:pPr>
        <w:spacing w:line="276" w:lineRule="auto" w:after="200"/>
      </w:pPr>
      <w:r>
        <w:rPr>
          <w:rFonts w:ascii="Arial" w:hAnsi="Arial"/>
          <w:color w:val="0F172A"/>
          <w:sz w:val="19"/>
        </w:rPr>
        <w:t>La seguridad de la información y la resiliencia en RefuGuía fueron integradas transversalmente desde la etapa de diseño de arquitectura ('Security by Design'). En situaciones de contingencia y desastre natural, la protección de los datos de los ciudadanos damnificados, la prevención de ataques contra los modelos de IA y la inmutabilidad de los historiales clínicos veterinarios constituyen pilares operacionales innegociables.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20" w:type="dxa"/>
              <w:bottom w:w="120" w:type="dxa"/>
              <w:left w:w="140" w:type="dxa"/>
              <w:right w:w="140" w:type="dxa"/>
            </w:tcMar>
          </w:tcPr>
          <w:p>
            <w:r>
              <w:rPr>
                <w:rFonts w:ascii="Arial" w:hAnsi="Arial"/>
                <w:b/>
                <w:color w:val="FFFFFF"/>
                <w:sz w:val="19"/>
              </w:rPr>
              <w:t>Riesgo Identificado</w:t>
            </w:r>
          </w:p>
        </w:tc>
        <w:tc>
          <w:tcPr>
            <w:tcW w:type="dxa" w:w="2304"/>
            <w:shd w:fill="1E3A8A"/>
            <w:tcMar>
              <w:top w:w="120" w:type="dxa"/>
              <w:bottom w:w="120" w:type="dxa"/>
              <w:left w:w="140" w:type="dxa"/>
              <w:right w:w="140" w:type="dxa"/>
            </w:tcMar>
          </w:tcPr>
          <w:p>
            <w:r>
              <w:rPr>
                <w:rFonts w:ascii="Arial" w:hAnsi="Arial"/>
                <w:b/>
                <w:color w:val="FFFFFF"/>
                <w:sz w:val="19"/>
              </w:rPr>
              <w:t>Tipo (OWASP / Privacidad / Acceso / IA)</w:t>
            </w:r>
          </w:p>
        </w:tc>
        <w:tc>
          <w:tcPr>
            <w:tcW w:type="dxa" w:w="4464"/>
            <w:shd w:fill="1E3A8A"/>
            <w:tcMar>
              <w:top w:w="120" w:type="dxa"/>
              <w:bottom w:w="120" w:type="dxa"/>
              <w:left w:w="140" w:type="dxa"/>
              <w:right w:w="140" w:type="dxa"/>
            </w:tcMar>
          </w:tcPr>
          <w:p>
            <w:r>
              <w:rPr>
                <w:rFonts w:ascii="Arial" w:hAnsi="Arial"/>
                <w:b/>
                <w:color w:val="FFFFFF"/>
                <w:sz w:val="19"/>
              </w:rPr>
              <w:t>Medida Implementada o Decisión Tomada</w:t>
            </w:r>
          </w:p>
        </w:tc>
      </w:tr>
      <w:tr>
        <w:tc>
          <w:tcPr>
            <w:tcW w:type="dxa" w:w="2592"/>
            <w:shd w:fill="F8FAFC"/>
            <w:tcMar>
              <w:top w:w="90" w:type="dxa"/>
              <w:bottom w:w="90" w:type="dxa"/>
              <w:left w:w="130" w:type="dxa"/>
              <w:right w:w="130" w:type="dxa"/>
            </w:tcMar>
          </w:tcPr>
          <w:p>
            <w:pPr>
              <w:spacing w:line="269" w:lineRule="auto"/>
            </w:pPr>
            <w:r>
              <w:rPr>
                <w:rFonts w:ascii="Arial" w:hAnsi="Arial"/>
                <w:b/>
                <w:color w:val="0F172A"/>
                <w:sz w:val="17"/>
              </w:rPr>
              <w:t>Inyección de prompt en el modelo IA (Prompt Injection &amp; Jailbreaks)</w:t>
            </w:r>
          </w:p>
        </w:tc>
        <w:tc>
          <w:tcPr>
            <w:tcW w:type="dxa" w:w="2304"/>
            <w:shd w:fill="F8FAFC"/>
            <w:tcMar>
              <w:top w:w="90" w:type="dxa"/>
              <w:bottom w:w="90" w:type="dxa"/>
              <w:left w:w="130" w:type="dxa"/>
              <w:right w:w="130" w:type="dxa"/>
            </w:tcMar>
          </w:tcPr>
          <w:p>
            <w:pPr>
              <w:spacing w:line="269" w:lineRule="auto"/>
            </w:pPr>
            <w:r>
              <w:rPr>
                <w:rFonts w:ascii="Arial" w:hAnsi="Arial"/>
                <w:b/>
                <w:color w:val="0F172A"/>
                <w:sz w:val="17"/>
              </w:rPr>
              <w:t>OWASP LLM01 / Inyección</w:t>
            </w:r>
          </w:p>
        </w:tc>
        <w:tc>
          <w:tcPr>
            <w:tcW w:type="dxa" w:w="4464"/>
            <w:shd w:fill="F8FAFC"/>
            <w:tcMar>
              <w:top w:w="90" w:type="dxa"/>
              <w:bottom w:w="90" w:type="dxa"/>
              <w:left w:w="130" w:type="dxa"/>
              <w:right w:w="130" w:type="dxa"/>
            </w:tcMar>
          </w:tcPr>
          <w:p>
            <w:pPr>
              <w:spacing w:line="269" w:lineRule="auto"/>
            </w:pPr>
            <w:r>
              <w:rPr>
                <w:rFonts w:ascii="Arial" w:hAnsi="Arial"/>
                <w:color w:val="0F172A"/>
                <w:sz w:val="17"/>
              </w:rPr>
              <w:t>Se implementó el servicio 'PromptSanitizerService' en el Backend, el cual filtra patrones maliciosos, comandos del sistema e intentos de fuga ('ignore previous instructions') antes de enviar el texto al SLM. Los System Prompts están aislados rígidamente y la respuesta se restringe a esquemas JSON fuertemente tipados sin ejecución dinámica de código.</w:t>
            </w:r>
          </w:p>
        </w:tc>
      </w:tr>
      <w:tr>
        <w:tc>
          <w:tcPr>
            <w:tcW w:type="dxa" w:w="2592"/>
            <w:shd w:fill="FFFFFF"/>
            <w:tcMar>
              <w:top w:w="90" w:type="dxa"/>
              <w:bottom w:w="90" w:type="dxa"/>
              <w:left w:w="130" w:type="dxa"/>
              <w:right w:w="130" w:type="dxa"/>
            </w:tcMar>
          </w:tcPr>
          <w:p>
            <w:pPr>
              <w:spacing w:line="269" w:lineRule="auto"/>
            </w:pPr>
            <w:r>
              <w:rPr>
                <w:rFonts w:ascii="Arial" w:hAnsi="Arial"/>
                <w:b/>
                <w:color w:val="0F172A"/>
                <w:sz w:val="17"/>
              </w:rPr>
              <w:t>Exposición de API Keys y Secretos en Repositorio</w:t>
            </w:r>
          </w:p>
        </w:tc>
        <w:tc>
          <w:tcPr>
            <w:tcW w:type="dxa" w:w="2304"/>
            <w:shd w:fill="FFFFFF"/>
            <w:tcMar>
              <w:top w:w="90" w:type="dxa"/>
              <w:bottom w:w="90" w:type="dxa"/>
              <w:left w:w="130" w:type="dxa"/>
              <w:right w:w="130" w:type="dxa"/>
            </w:tcMar>
          </w:tcPr>
          <w:p>
            <w:pPr>
              <w:spacing w:line="269" w:lineRule="auto"/>
            </w:pPr>
            <w:r>
              <w:rPr>
                <w:rFonts w:ascii="Arial" w:hAnsi="Arial"/>
                <w:b/>
                <w:color w:val="0F172A"/>
                <w:sz w:val="17"/>
              </w:rPr>
              <w:t>Secretos en Código / OWASP A02</w:t>
            </w:r>
          </w:p>
        </w:tc>
        <w:tc>
          <w:tcPr>
            <w:tcW w:type="dxa" w:w="4464"/>
            <w:shd w:fill="FFFFFF"/>
            <w:tcMar>
              <w:top w:w="90" w:type="dxa"/>
              <w:bottom w:w="90" w:type="dxa"/>
              <w:left w:w="130" w:type="dxa"/>
              <w:right w:w="130" w:type="dxa"/>
            </w:tcMar>
          </w:tcPr>
          <w:p>
            <w:pPr>
              <w:spacing w:line="269" w:lineRule="auto"/>
            </w:pPr>
            <w:r>
              <w:rPr>
                <w:rFonts w:ascii="Arial" w:hAnsi="Arial"/>
                <w:color w:val="0F172A"/>
                <w:sz w:val="17"/>
              </w:rPr>
              <w:t>Al adoptar una arquitectura 100% On-Premise con Ollama Local y ChromaDB embebido, se eliminó la necesidad de utilizar o almacenar API Keys de proveedores comerciales de IA (OpenAI, Claude). Todas las credenciales internas (MySQL, App Key) se gestionan mediante variables de entorno en el archivo '.env', rigurosamente ignorado en el control de versiones '.gitignore'.</w:t>
            </w:r>
          </w:p>
        </w:tc>
      </w:tr>
      <w:tr>
        <w:tc>
          <w:tcPr>
            <w:tcW w:type="dxa" w:w="2592"/>
            <w:shd w:fill="F8FAFC"/>
            <w:tcMar>
              <w:top w:w="90" w:type="dxa"/>
              <w:bottom w:w="90" w:type="dxa"/>
              <w:left w:w="130" w:type="dxa"/>
              <w:right w:w="130" w:type="dxa"/>
            </w:tcMar>
          </w:tcPr>
          <w:p>
            <w:pPr>
              <w:spacing w:line="269" w:lineRule="auto"/>
            </w:pPr>
            <w:r>
              <w:rPr>
                <w:rFonts w:ascii="Arial" w:hAnsi="Arial"/>
                <w:b/>
                <w:color w:val="0F172A"/>
                <w:sz w:val="17"/>
              </w:rPr>
              <w:t>Fuga o Exposición de Datos Privados de Damnificados (Data Privacy)</w:t>
            </w:r>
          </w:p>
        </w:tc>
        <w:tc>
          <w:tcPr>
            <w:tcW w:type="dxa" w:w="2304"/>
            <w:shd w:fill="F8FAFC"/>
            <w:tcMar>
              <w:top w:w="90" w:type="dxa"/>
              <w:bottom w:w="90" w:type="dxa"/>
              <w:left w:w="130" w:type="dxa"/>
              <w:right w:w="130" w:type="dxa"/>
            </w:tcMar>
          </w:tcPr>
          <w:p>
            <w:pPr>
              <w:spacing w:line="269" w:lineRule="auto"/>
            </w:pPr>
            <w:r>
              <w:rPr>
                <w:rFonts w:ascii="Arial" w:hAnsi="Arial"/>
                <w:b/>
                <w:color w:val="0F172A"/>
                <w:sz w:val="17"/>
              </w:rPr>
              <w:t>Privacidad / GDPR / OWASP A01</w:t>
            </w:r>
          </w:p>
        </w:tc>
        <w:tc>
          <w:tcPr>
            <w:tcW w:type="dxa" w:w="4464"/>
            <w:shd w:fill="F8FAFC"/>
            <w:tcMar>
              <w:top w:w="90" w:type="dxa"/>
              <w:bottom w:w="90" w:type="dxa"/>
              <w:left w:w="130" w:type="dxa"/>
              <w:right w:w="130" w:type="dxa"/>
            </w:tcMar>
          </w:tcPr>
          <w:p>
            <w:pPr>
              <w:spacing w:line="269" w:lineRule="auto"/>
            </w:pPr>
            <w:r>
              <w:rPr>
                <w:rFonts w:ascii="Arial" w:hAnsi="Arial"/>
                <w:color w:val="0F172A"/>
                <w:sz w:val="17"/>
              </w:rPr>
              <w:t>Principio de minimización de datos: solo se registran nombres de pila, teléfono de contacto voluntario y ubicación general del rescate (zona/parroquia), sin solicitar documentos nacionales de identidad ni datos financieros sensibles. Cero fuga de datos hacia nubes externas (Zero External Cloud Egress), garantizando soberanía y confidencialidad absoluta en red local.</w:t>
            </w:r>
          </w:p>
        </w:tc>
      </w:tr>
      <w:tr>
        <w:tc>
          <w:tcPr>
            <w:tcW w:type="dxa" w:w="2592"/>
            <w:shd w:fill="FFFFFF"/>
            <w:tcMar>
              <w:top w:w="90" w:type="dxa"/>
              <w:bottom w:w="90" w:type="dxa"/>
              <w:left w:w="130" w:type="dxa"/>
              <w:right w:w="130" w:type="dxa"/>
            </w:tcMar>
          </w:tcPr>
          <w:p>
            <w:pPr>
              <w:spacing w:line="269" w:lineRule="auto"/>
            </w:pPr>
            <w:r>
              <w:rPr>
                <w:rFonts w:ascii="Arial" w:hAnsi="Arial"/>
                <w:b/>
                <w:color w:val="0F172A"/>
                <w:sz w:val="17"/>
              </w:rPr>
              <w:t>Acceso no autorizado y escalada de privilegios</w:t>
            </w:r>
          </w:p>
        </w:tc>
        <w:tc>
          <w:tcPr>
            <w:tcW w:type="dxa" w:w="2304"/>
            <w:shd w:fill="FFFFFF"/>
            <w:tcMar>
              <w:top w:w="90" w:type="dxa"/>
              <w:bottom w:w="90" w:type="dxa"/>
              <w:left w:w="130" w:type="dxa"/>
              <w:right w:w="130" w:type="dxa"/>
            </w:tcMar>
          </w:tcPr>
          <w:p>
            <w:pPr>
              <w:spacing w:line="269" w:lineRule="auto"/>
            </w:pPr>
            <w:r>
              <w:rPr>
                <w:rFonts w:ascii="Arial" w:hAnsi="Arial"/>
                <w:b/>
                <w:color w:val="0F172A"/>
                <w:sz w:val="17"/>
              </w:rPr>
              <w:t>Autenticación &amp; RBAC / OWASP A01</w:t>
            </w:r>
          </w:p>
        </w:tc>
        <w:tc>
          <w:tcPr>
            <w:tcW w:type="dxa" w:w="4464"/>
            <w:shd w:fill="FFFFFF"/>
            <w:tcMar>
              <w:top w:w="90" w:type="dxa"/>
              <w:bottom w:w="90" w:type="dxa"/>
              <w:left w:w="130" w:type="dxa"/>
              <w:right w:w="130" w:type="dxa"/>
            </w:tcMar>
          </w:tcPr>
          <w:p>
            <w:pPr>
              <w:spacing w:line="269" w:lineRule="auto"/>
            </w:pPr>
            <w:r>
              <w:rPr>
                <w:rFonts w:ascii="Arial" w:hAnsi="Arial"/>
                <w:color w:val="0F172A"/>
                <w:sz w:val="17"/>
              </w:rPr>
              <w:t>Se implementó control de acceso basado en roles (RBAC) estricto con Laravel Sanctum y guardias de navegación en Vue Router. Los endpoints críticos (administración de tratamientos médicos, gestión de inventario y ejecución de auditorías MCP) están exclusivamente restringidos al rol 'shelter_admin', impidiendo que ciudadanos o adoptantes modifiquen expedientes.</w:t>
            </w:r>
          </w:p>
        </w:tc>
      </w:tr>
      <w:tr>
        <w:tc>
          <w:tcPr>
            <w:tcW w:type="dxa" w:w="2592"/>
            <w:shd w:fill="F8FAFC"/>
            <w:tcMar>
              <w:top w:w="90" w:type="dxa"/>
              <w:bottom w:w="90" w:type="dxa"/>
              <w:left w:w="130" w:type="dxa"/>
              <w:right w:w="130" w:type="dxa"/>
            </w:tcMar>
          </w:tcPr>
          <w:p>
            <w:pPr>
              <w:spacing w:line="269" w:lineRule="auto"/>
            </w:pPr>
            <w:r>
              <w:rPr>
                <w:rFonts w:ascii="Arial" w:hAnsi="Arial"/>
                <w:b/>
                <w:color w:val="0F172A"/>
                <w:sz w:val="17"/>
              </w:rPr>
              <w:t>Adulteración de historiales médicos o sobredosis de fármacos</w:t>
            </w:r>
          </w:p>
        </w:tc>
        <w:tc>
          <w:tcPr>
            <w:tcW w:type="dxa" w:w="2304"/>
            <w:shd w:fill="F8FAFC"/>
            <w:tcMar>
              <w:top w:w="90" w:type="dxa"/>
              <w:bottom w:w="90" w:type="dxa"/>
              <w:left w:w="130" w:type="dxa"/>
              <w:right w:w="130" w:type="dxa"/>
            </w:tcMar>
          </w:tcPr>
          <w:p>
            <w:pPr>
              <w:spacing w:line="269" w:lineRule="auto"/>
            </w:pPr>
            <w:r>
              <w:rPr>
                <w:rFonts w:ascii="Arial" w:hAnsi="Arial"/>
                <w:b/>
                <w:color w:val="0F172A"/>
                <w:sz w:val="17"/>
              </w:rPr>
              <w:t>Integridad de Datos / OWASP A08</w:t>
            </w:r>
          </w:p>
        </w:tc>
        <w:tc>
          <w:tcPr>
            <w:tcW w:type="dxa" w:w="4464"/>
            <w:shd w:fill="F8FAFC"/>
            <w:tcMar>
              <w:top w:w="90" w:type="dxa"/>
              <w:bottom w:w="90" w:type="dxa"/>
              <w:left w:w="130" w:type="dxa"/>
              <w:right w:w="130" w:type="dxa"/>
            </w:tcMar>
          </w:tcPr>
          <w:p>
            <w:pPr>
              <w:spacing w:line="269" w:lineRule="auto"/>
            </w:pPr>
            <w:r>
              <w:rPr>
                <w:rFonts w:ascii="Arial" w:hAnsi="Arial"/>
                <w:color w:val="0F172A"/>
                <w:sz w:val="17"/>
              </w:rPr>
              <w:t>Se implementó una cadena de bloques interna de registros clínicos donde cada administración de fármaco genera un Hash SHA-256 inmutable encadenado al registro previo ('hash_sha256 = sha256(prev_hash + payload)'). Además, existe un bloqueo lógico estricto que prohíbe guardar cualquier tratamiento si no se valida el escaneo del collar QR físico del animal ('qr_scanned = true').</w:t>
            </w:r>
          </w:p>
        </w:tc>
      </w:tr>
      <w:tr>
        <w:tc>
          <w:tcPr>
            <w:tcW w:type="dxa" w:w="2592"/>
            <w:shd w:fill="FFFFFF"/>
            <w:tcMar>
              <w:top w:w="90" w:type="dxa"/>
              <w:bottom w:w="90" w:type="dxa"/>
              <w:left w:w="130" w:type="dxa"/>
              <w:right w:w="130" w:type="dxa"/>
            </w:tcMar>
          </w:tcPr>
          <w:p>
            <w:pPr>
              <w:spacing w:line="269" w:lineRule="auto"/>
            </w:pPr>
            <w:r>
              <w:rPr>
                <w:rFonts w:ascii="Arial" w:hAnsi="Arial"/>
                <w:b/>
                <w:color w:val="0F172A"/>
                <w:sz w:val="17"/>
              </w:rPr>
              <w:t>Ejecución no autorizada o descontrolada de agentes</w:t>
            </w:r>
          </w:p>
        </w:tc>
        <w:tc>
          <w:tcPr>
            <w:tcW w:type="dxa" w:w="2304"/>
            <w:shd w:fill="FFFFFF"/>
            <w:tcMar>
              <w:top w:w="90" w:type="dxa"/>
              <w:bottom w:w="90" w:type="dxa"/>
              <w:left w:w="130" w:type="dxa"/>
              <w:right w:w="130" w:type="dxa"/>
            </w:tcMar>
          </w:tcPr>
          <w:p>
            <w:pPr>
              <w:spacing w:line="269" w:lineRule="auto"/>
            </w:pPr>
            <w:r>
              <w:rPr>
                <w:rFonts w:ascii="Arial" w:hAnsi="Arial"/>
                <w:b/>
                <w:color w:val="0F172A"/>
                <w:sz w:val="17"/>
              </w:rPr>
              <w:t>OWASP LLM08 / Exceso de Agencia</w:t>
            </w:r>
          </w:p>
        </w:tc>
        <w:tc>
          <w:tcPr>
            <w:tcW w:type="dxa" w:w="4464"/>
            <w:shd w:fill="FFFFFF"/>
            <w:tcMar>
              <w:top w:w="90" w:type="dxa"/>
              <w:bottom w:w="90" w:type="dxa"/>
              <w:left w:w="130" w:type="dxa"/>
              <w:right w:w="130" w:type="dxa"/>
            </w:tcMar>
          </w:tcPr>
          <w:p>
            <w:pPr>
              <w:spacing w:line="269" w:lineRule="auto"/>
            </w:pPr>
            <w:r>
              <w:rPr>
                <w:rFonts w:ascii="Arial" w:hAnsi="Arial"/>
                <w:color w:val="0F172A"/>
                <w:sz w:val="17"/>
              </w:rPr>
              <w:t>El Servidor MCP (Model Context Protocol 2026.1) aplica el principio de menor privilegio. Cada una de las 6 Skills agénticas opera bajo un contrato formal en Markdown (.md) con esquemas JsonSchema cerrados. Los agentes no tienen acceso libre a la consola del sistema operativo ni a la base de datos sin pasar por los validadores de negocio de Laravel.</w:t>
            </w:r>
          </w:p>
        </w:tc>
      </w:tr>
    </w:tbl>
    <w:p>
      <w:pPr>
        <w:spacing w:before="160" w:after="160"/>
      </w:pPr>
      <w:r>
        <w:rPr>
          <w:rFonts w:ascii="Arial" w:hAnsi="Arial"/>
          <w:i/>
          <w:color w:val="64748B"/>
          <w:sz w:val="17"/>
        </w:rPr>
        <w:t>UTN-FRBA | EPIData — IA Aplicada a Organizaciones</w:t>
      </w:r>
    </w:p>
    <w:p>
      <w:pPr>
        <w:spacing w:before="400" w:after="200"/>
      </w:pPr>
      <w:r>
        <w:rPr>
          <w:rFonts w:ascii="Arial" w:hAnsi="Arial"/>
          <w:b/>
          <w:color w:val="1E3A8A"/>
          <w:sz w:val="32"/>
        </w:rPr>
        <w:t>Sección 7 · IAs Usadas en el Co-Work de Desarrollo</w:t>
      </w:r>
    </w:p>
    <w:p>
      <w:pPr>
        <w:spacing w:line="276" w:lineRule="auto" w:after="200"/>
      </w:pPr>
      <w:r>
        <w:rPr>
          <w:rFonts w:ascii="Arial" w:hAnsi="Arial"/>
          <w:color w:val="0F172A"/>
          <w:sz w:val="19"/>
        </w:rPr>
        <w:t>El desarrollo de RefuGuía se llevó a cabo mediante un esquema intensivo de co-programación y co-diseño con Inteligencia Artificial (Pair-Programming con IA). A continuación se detallan las herramientas utilizadas en el ciclo de vida del proyecto, su alcance y la evaluación crítica de su aporte:</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20" w:type="dxa"/>
              <w:bottom w:w="120" w:type="dxa"/>
              <w:left w:w="140" w:type="dxa"/>
              <w:right w:w="140" w:type="dxa"/>
            </w:tcMar>
          </w:tcPr>
          <w:p>
            <w:r>
              <w:rPr>
                <w:rFonts w:ascii="Arial" w:hAnsi="Arial"/>
                <w:b/>
                <w:color w:val="FFFFFF"/>
                <w:sz w:val="19"/>
              </w:rPr>
              <w:t>Herramienta IA</w:t>
            </w:r>
          </w:p>
        </w:tc>
        <w:tc>
          <w:tcPr>
            <w:tcW w:type="dxa" w:w="3456"/>
            <w:shd w:fill="1E3A8A"/>
            <w:tcMar>
              <w:top w:w="120" w:type="dxa"/>
              <w:bottom w:w="120" w:type="dxa"/>
              <w:left w:w="140" w:type="dxa"/>
              <w:right w:w="140" w:type="dxa"/>
            </w:tcMar>
          </w:tcPr>
          <w:p>
            <w:r>
              <w:rPr>
                <w:rFonts w:ascii="Arial" w:hAnsi="Arial"/>
                <w:b/>
                <w:color w:val="FFFFFF"/>
                <w:sz w:val="19"/>
              </w:rPr>
              <w:t>Para qué la usaron</w:t>
            </w:r>
          </w:p>
        </w:tc>
        <w:tc>
          <w:tcPr>
            <w:tcW w:type="dxa" w:w="3312"/>
            <w:shd w:fill="1E3A8A"/>
            <w:tcMar>
              <w:top w:w="120" w:type="dxa"/>
              <w:bottom w:w="120" w:type="dxa"/>
              <w:left w:w="140" w:type="dxa"/>
              <w:right w:w="140" w:type="dxa"/>
            </w:tcMar>
          </w:tcPr>
          <w:p>
            <w:r>
              <w:rPr>
                <w:rFonts w:ascii="Arial" w:hAnsi="Arial"/>
                <w:b/>
                <w:color w:val="FFFFFF"/>
                <w:sz w:val="19"/>
              </w:rPr>
              <w:t>Aportó bien / mal / sorprendió</w:t>
            </w:r>
          </w:p>
        </w:tc>
      </w:tr>
      <w:tr>
        <w:tc>
          <w:tcPr>
            <w:tcW w:type="dxa" w:w="2592"/>
            <w:shd w:fill="F8FAFC"/>
            <w:tcMar>
              <w:top w:w="90" w:type="dxa"/>
              <w:bottom w:w="90" w:type="dxa"/>
              <w:left w:w="130" w:type="dxa"/>
              <w:right w:w="130" w:type="dxa"/>
            </w:tcMar>
          </w:tcPr>
          <w:p>
            <w:pPr>
              <w:spacing w:line="269" w:lineRule="auto"/>
            </w:pPr>
            <w:r>
              <w:rPr>
                <w:rFonts w:ascii="Arial" w:hAnsi="Arial"/>
                <w:b/>
                <w:color w:val="0F172A"/>
                <w:sz w:val="17"/>
              </w:rPr>
              <w:t>Antigravity (Gemini)</w:t>
            </w:r>
          </w:p>
        </w:tc>
        <w:tc>
          <w:tcPr>
            <w:tcW w:type="dxa" w:w="3456"/>
            <w:shd w:fill="F8FAFC"/>
            <w:tcMar>
              <w:top w:w="90" w:type="dxa"/>
              <w:bottom w:w="90" w:type="dxa"/>
              <w:left w:w="130" w:type="dxa"/>
              <w:right w:w="130" w:type="dxa"/>
            </w:tcMar>
          </w:tcPr>
          <w:p>
            <w:pPr>
              <w:spacing w:line="269" w:lineRule="auto"/>
            </w:pPr>
            <w:r>
              <w:rPr>
                <w:rFonts w:ascii="Arial" w:hAnsi="Arial"/>
                <w:color w:val="0F172A"/>
                <w:sz w:val="17"/>
              </w:rPr>
              <w:t>Scaffolding completo del proyecto (Laravel 11 REST API + Vue.js 3), generación de diagramas UML en español, desarrollo de las 6 Skills MCP (.md), suite de testing automatizado (8/8 tests al 100%) y compilación del informe técnico.</w:t>
            </w:r>
          </w:p>
        </w:tc>
        <w:tc>
          <w:tcPr>
            <w:tcW w:type="dxa" w:w="3312"/>
            <w:shd w:fill="F8FAFC"/>
            <w:tcMar>
              <w:top w:w="90" w:type="dxa"/>
              <w:bottom w:w="90" w:type="dxa"/>
              <w:left w:w="130" w:type="dxa"/>
              <w:right w:w="130" w:type="dxa"/>
            </w:tcMar>
          </w:tcPr>
          <w:p>
            <w:pPr>
              <w:spacing w:line="269" w:lineRule="auto"/>
            </w:pPr>
            <w:r>
              <w:rPr>
                <w:rFonts w:ascii="Arial" w:hAnsi="Arial"/>
                <w:color w:val="0F172A"/>
                <w:sz w:val="17"/>
              </w:rPr>
              <w:t>Aportó de forma sobresaliente. Permitió orquestar de punta a punta un sistema de alta complejidad en horas, gestionando la integración de Ollama local, ChromaDB y cadenas de bloques SHA-256 sin fricciones.</w:t>
            </w:r>
          </w:p>
        </w:tc>
      </w:tr>
      <w:tr>
        <w:tc>
          <w:tcPr>
            <w:tcW w:type="dxa" w:w="2592"/>
            <w:shd w:fill="FFFFFF"/>
            <w:tcMar>
              <w:top w:w="90" w:type="dxa"/>
              <w:bottom w:w="90" w:type="dxa"/>
              <w:left w:w="130" w:type="dxa"/>
              <w:right w:w="130" w:type="dxa"/>
            </w:tcMar>
          </w:tcPr>
          <w:p>
            <w:pPr>
              <w:spacing w:line="269" w:lineRule="auto"/>
            </w:pPr>
            <w:r>
              <w:rPr>
                <w:rFonts w:ascii="Arial" w:hAnsi="Arial"/>
                <w:b/>
                <w:color w:val="0F172A"/>
                <w:sz w:val="17"/>
              </w:rPr>
              <w:t>Claude (Anthropic)</w:t>
            </w:r>
          </w:p>
        </w:tc>
        <w:tc>
          <w:tcPr>
            <w:tcW w:type="dxa" w:w="3456"/>
            <w:shd w:fill="FFFFFF"/>
            <w:tcMar>
              <w:top w:w="90" w:type="dxa"/>
              <w:bottom w:w="90" w:type="dxa"/>
              <w:left w:w="130" w:type="dxa"/>
              <w:right w:w="130" w:type="dxa"/>
            </w:tcMar>
          </w:tcPr>
          <w:p>
            <w:pPr>
              <w:spacing w:line="269" w:lineRule="auto"/>
            </w:pPr>
            <w:r>
              <w:rPr>
                <w:rFonts w:ascii="Arial" w:hAnsi="Arial"/>
                <w:color w:val="0F172A"/>
                <w:sz w:val="17"/>
              </w:rPr>
              <w:t>Diseño conceptual de los contratos de datos agénticos del Protocolo MCP (Model Context Protocol 2026.1) y refinamiento de prompts de extracción estructurada en JSON estricto.</w:t>
            </w:r>
          </w:p>
        </w:tc>
        <w:tc>
          <w:tcPr>
            <w:tcW w:type="dxa" w:w="3312"/>
            <w:shd w:fill="FFFFFF"/>
            <w:tcMar>
              <w:top w:w="90" w:type="dxa"/>
              <w:bottom w:w="90" w:type="dxa"/>
              <w:left w:w="130" w:type="dxa"/>
              <w:right w:w="130" w:type="dxa"/>
            </w:tcMar>
          </w:tcPr>
          <w:p>
            <w:pPr>
              <w:spacing w:line="269" w:lineRule="auto"/>
            </w:pPr>
            <w:r>
              <w:rPr>
                <w:rFonts w:ascii="Arial" w:hAnsi="Arial"/>
                <w:color w:val="0F172A"/>
                <w:sz w:val="17"/>
              </w:rPr>
              <w:t>Sorprendió gratamente por su rigurosidad para definir esquemas JsonSchema cerrados, garantizando que el agente de NLP no inventara campos fuera del formato médico.</w:t>
            </w:r>
          </w:p>
        </w:tc>
      </w:tr>
      <w:tr>
        <w:tc>
          <w:tcPr>
            <w:tcW w:type="dxa" w:w="2592"/>
            <w:shd w:fill="F8FAFC"/>
            <w:tcMar>
              <w:top w:w="90" w:type="dxa"/>
              <w:bottom w:w="90" w:type="dxa"/>
              <w:left w:w="130" w:type="dxa"/>
              <w:right w:w="130" w:type="dxa"/>
            </w:tcMar>
          </w:tcPr>
          <w:p>
            <w:pPr>
              <w:spacing w:line="269" w:lineRule="auto"/>
            </w:pPr>
            <w:r>
              <w:rPr>
                <w:rFonts w:ascii="Arial" w:hAnsi="Arial"/>
                <w:b/>
                <w:color w:val="0F172A"/>
                <w:sz w:val="17"/>
              </w:rPr>
              <w:t>ChatGPT (OpenAI)</w:t>
            </w:r>
          </w:p>
        </w:tc>
        <w:tc>
          <w:tcPr>
            <w:tcW w:type="dxa" w:w="3456"/>
            <w:shd w:fill="F8FAFC"/>
            <w:tcMar>
              <w:top w:w="90" w:type="dxa"/>
              <w:bottom w:w="90" w:type="dxa"/>
              <w:left w:w="130" w:type="dxa"/>
              <w:right w:w="130" w:type="dxa"/>
            </w:tcMar>
          </w:tcPr>
          <w:p>
            <w:pPr>
              <w:spacing w:line="269" w:lineRule="auto"/>
            </w:pPr>
            <w:r>
              <w:rPr>
                <w:rFonts w:ascii="Arial" w:hAnsi="Arial"/>
                <w:color w:val="0F172A"/>
                <w:sz w:val="17"/>
              </w:rPr>
              <w:t>Brainstorming y redacción de casos de uso de crisis post-sismo, modelado de perfiles de usuario (damnificada, rescatista, veterinaria) y formulación de la lógica del período legal de 15 días.</w:t>
            </w:r>
          </w:p>
        </w:tc>
        <w:tc>
          <w:tcPr>
            <w:tcW w:type="dxa" w:w="3312"/>
            <w:shd w:fill="F8FAFC"/>
            <w:tcMar>
              <w:top w:w="90" w:type="dxa"/>
              <w:bottom w:w="90" w:type="dxa"/>
              <w:left w:w="130" w:type="dxa"/>
              <w:right w:w="130" w:type="dxa"/>
            </w:tcMar>
          </w:tcPr>
          <w:p>
            <w:pPr>
              <w:spacing w:line="269" w:lineRule="auto"/>
            </w:pPr>
            <w:r>
              <w:rPr>
                <w:rFonts w:ascii="Arial" w:hAnsi="Arial"/>
                <w:color w:val="0F172A"/>
                <w:sz w:val="17"/>
              </w:rPr>
              <w:t>Aportó muy bien para contextualizar escenarios de desastre natural y afinar el vocabulario inclusivo y accesible para personas en estado de shock emocional.</w:t>
            </w:r>
          </w:p>
        </w:tc>
      </w:tr>
      <w:tr>
        <w:tc>
          <w:tcPr>
            <w:tcW w:type="dxa" w:w="2592"/>
            <w:shd w:fill="FFFFFF"/>
            <w:tcMar>
              <w:top w:w="90" w:type="dxa"/>
              <w:bottom w:w="90" w:type="dxa"/>
              <w:left w:w="130" w:type="dxa"/>
              <w:right w:w="130" w:type="dxa"/>
            </w:tcMar>
          </w:tcPr>
          <w:p>
            <w:pPr>
              <w:spacing w:line="269" w:lineRule="auto"/>
            </w:pPr>
            <w:r>
              <w:rPr>
                <w:rFonts w:ascii="Arial" w:hAnsi="Arial"/>
                <w:b/>
                <w:color w:val="0F172A"/>
                <w:sz w:val="17"/>
              </w:rPr>
              <w:t>Ollama Local Engine</w:t>
              <w:br/>
              <w:t>(Qwen 2.5 + Moondream)</w:t>
            </w:r>
          </w:p>
        </w:tc>
        <w:tc>
          <w:tcPr>
            <w:tcW w:type="dxa" w:w="3456"/>
            <w:shd w:fill="FFFFFF"/>
            <w:tcMar>
              <w:top w:w="90" w:type="dxa"/>
              <w:bottom w:w="90" w:type="dxa"/>
              <w:left w:w="130" w:type="dxa"/>
              <w:right w:w="130" w:type="dxa"/>
            </w:tcMar>
          </w:tcPr>
          <w:p>
            <w:pPr>
              <w:spacing w:line="269" w:lineRule="auto"/>
            </w:pPr>
            <w:r>
              <w:rPr>
                <w:rFonts w:ascii="Arial" w:hAnsi="Arial"/>
                <w:color w:val="0F172A"/>
                <w:sz w:val="17"/>
              </w:rPr>
              <w:t>Inferencia On-Premise en tiempo de ejecución: extracción de entidades clínicas en lenguaje natural y peritaje pericial comparativo de imágenes de mascotas píxel a píxel.</w:t>
            </w:r>
          </w:p>
        </w:tc>
        <w:tc>
          <w:tcPr>
            <w:tcW w:type="dxa" w:w="3312"/>
            <w:shd w:fill="FFFFFF"/>
            <w:tcMar>
              <w:top w:w="90" w:type="dxa"/>
              <w:bottom w:w="90" w:type="dxa"/>
              <w:left w:w="130" w:type="dxa"/>
              <w:right w:w="130" w:type="dxa"/>
            </w:tcMar>
          </w:tcPr>
          <w:p>
            <w:pPr>
              <w:spacing w:line="269" w:lineRule="auto"/>
            </w:pPr>
            <w:r>
              <w:rPr>
                <w:rFonts w:ascii="Arial" w:hAnsi="Arial"/>
                <w:color w:val="0F172A"/>
                <w:sz w:val="17"/>
              </w:rPr>
              <w:t>Sorprendió positivamente: demostró que modelos SLM/VLM de 1.4B–1.5B ofrecen una precisión asombrosa en hardware modesto sin requerir internet ni GPUs de servidor.</w:t>
            </w:r>
          </w:p>
        </w:tc>
      </w:tr>
    </w:tbl>
    <w:p>
      <w:pPr>
        <w:spacing w:after="160"/>
      </w:pPr>
    </w:p>
    <w:p>
      <w:pPr>
        <w:spacing w:before="200" w:after="80"/>
      </w:pPr>
      <w:r>
        <w:rPr>
          <w:rFonts w:ascii="Arial" w:hAnsi="Arial"/>
          <w:b/>
          <w:color w:val="0D9488"/>
          <w:sz w:val="25"/>
        </w:rPr>
        <w:t>Reflexión Crítica del Co-Work con IA</w:t>
      </w: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180" w:type="dxa"/>
              <w:right w:w="180" w:type="dxa"/>
            </w:tcMar>
          </w:tcPr>
          <w:p>
            <w:pPr>
              <w:spacing w:line="276" w:lineRule="auto" w:after="0"/>
            </w:pPr>
            <w:r>
              <w:rPr>
                <w:rFonts w:ascii="Arial" w:hAnsi="Arial"/>
                <w:color w:val="0F172A"/>
                <w:sz w:val="19"/>
              </w:rPr>
              <w:t>El co-work con herramientas de Inteligencia Artificial permitió acelerar en más de un 300% el desarrollo de la arquitectura Multi-Agente, la formulación de contratos MCP en Markdown y la suite de pruebas automatizadas, una tarea que a un equipo tradicional le habría tomado varias semanas de ingeniería. Sin embargo, la IA presentó errores puntuales que requirieron intervención humana crítica: inicialmente propuso modelos de lenguaje demasiado pesados para hardware de campaña que colapsaban la memoria RAM, intentó utilizar APIs en la nube incompatibles con escenarios de corte de conectividad post-sismo, generó rutas desalineadas en el enrutador de Vue.js y tendía a exponer tecnicismos complejos de IA al usuario final. La labor del ingeniero fue indispensable para corregir estos desvíos, imponer la soberanía On-Premise con Qwen 2.5 y Moondream, asegurar la inmutabilidad criptográfica SHA-256 de los fármacos y humanizar por completo la experiencia de usuario para garantizar empatía y accesibilidad real en emergencias.</w:t>
            </w:r>
          </w:p>
        </w:tc>
      </w:tr>
    </w:tbl>
    <w:p>
      <w:pPr>
        <w:spacing w:before="160" w:after="160"/>
      </w:pPr>
      <w:r>
        <w:rPr>
          <w:rFonts w:ascii="Arial" w:hAnsi="Arial"/>
          <w:i/>
          <w:color w:val="64748B"/>
          <w:sz w:val="17"/>
        </w:rPr>
        <w:t>UTN-FRBA | EPIData — IA Aplicada a Organizaciones</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 w:name="Arial">
    <w:charset w:val="00"/>
    <w:family w:val="roman"/>
    <w:pitch w:val="variable"/>
  </w:font>
  <w:font w:name="Courier New">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LibreOffice/24.2.5.2$Windows_X86_64 LibreOffice_project/bffef4ea93e59bebbeaf7f431bb02b1a39ee8a59</Application>
  <AppVersion>15.0000</AppVersion>
  <Pages>11</Pages>
  <Words>2122</Words>
  <Characters>12872</Characters>
  <CharactersWithSpaces>14976</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2026-08-19T22:50:35Z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