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</w:t>
      </w:r>
    </w:p>
    <w:p>
      <w:r>
        <w:t>The contractor shall deliver a migration plan within 30 days of award.</w:t>
      </w:r>
    </w:p>
    <w:p>
      <w:pPr>
        <w:pStyle w:val="Heading2"/>
      </w:pPr>
      <w:r>
        <w:t>Eligibility</w:t>
      </w:r>
    </w:p>
    <w:p>
      <w:r>
        <w:t>Bidders must have an average annual turnover of INR 5 crore.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Desktop computer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each</w:t>
            </w:r>
          </w:p>
        </w:tc>
      </w:tr>
    </w:tbl>
    <w:p>
      <w:r>
        <w:br w:type="page"/>
      </w:r>
    </w:p>
    <w:p>
      <w:pPr>
        <w:pStyle w:val="Heading2"/>
      </w:pPr>
      <w:r>
        <w:t>Evaluation</w:t>
      </w:r>
    </w:p>
    <w:p>
      <w:r>
        <w:t>Technical 70, commercial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