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Segoe UI" w:hAnsi="Segoe UI"/>
          <w:b/>
          <w:color w:val="4F46E5"/>
          <w:sz w:val="44"/>
        </w:rPr>
        <w:t>Template C - Web Page Review Checklist</w:t>
      </w:r>
    </w:p>
    <w:p>
      <w:pPr>
        <w:spacing w:after="400"/>
      </w:pPr>
      <w:r>
        <w:rPr>
          <w:b/>
        </w:rPr>
        <w:t xml:space="preserve">Project Name: </w:t>
      </w:r>
      <w:r>
        <w:t>University Classroom Allocation System</w:t>
        <w:br/>
      </w:r>
      <w:r>
        <w:rPr>
          <w:b/>
        </w:rPr>
        <w:t xml:space="preserve">Prepared By: </w:t>
      </w:r>
      <w:r>
        <w:t>Rana</w:t>
        <w:br/>
      </w:r>
      <w:r>
        <w:rPr>
          <w:b/>
        </w:rPr>
        <w:t xml:space="preserve">Target Standards: </w:t>
      </w:r>
      <w:r>
        <w:t>Grade B and Grade A Core Metrics (Advanced Security &amp; Accessibility Verification)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Grading Criteria Focus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Checkpoint / Question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shd w:fill="4F46E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20"/>
              </w:rPr>
              <w:t>Detailed Annotations &amp; Comments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Grade B/A Focus:</w:t>
              <w:br/>
              <w:t>Security (الأمان والنزاهة)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Is the data held securely? Does the form update allocation tables without SQL Injection risks?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  <w:br/>
              <w:t>✅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Allocation payloads are bound securely. The backend PHP source script applies strict **Prepared Statements** (`$conn-&gt;prepare()`) and data types validation. This completely protects the database server from malicious **SQL Injection** payload exploits. Standard notation: Referential constraint verified.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Grade B Focus:</w:t>
              <w:br/>
              <w:t>Accessibility (سهولة الوصول)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Does the allocation interface meet necessary accessibility requirements?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  <w:br/>
              <w:t>✅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Applied a strict high-contrast responsive layout (Deep Indigo semantic header bars, readable dark neutral texts, white data input boxes). Input selectors leverage mandatory required tokens for structural screen-reader tracing. Standard notation: Visual accessibility checked.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Grade B Focus:</w:t>
              <w:br/>
              <w:t>Navigation (سهولة التنقل)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Is the system easy to navigate? Can tutors switch seamlessly between room profiles and booking?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  <w:br/>
              <w:t>✅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Integrated a clear structural navigation portal bar layout. Academic tutors can dynamically pivot between browsing capacities and configuring bookings seamlessly.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Grade C/D Focus:</w:t>
              <w:br/>
              <w:t>Validation (التحقق من البيانات)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Does the room form correctly fetch records from an external database source and validate inputs?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Pass</w:t>
              <w:br/>
              <w:t>✅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  <w:shd w:fill="F9FAFB"/>
          </w:tcPr>
          <w:p>
            <w:r>
              <w:rPr>
                <w:rFonts w:ascii="Segoe UI" w:hAnsi="Segoe UI"/>
                <w:sz w:val="19"/>
              </w:rPr>
              <w:t>The room selector component programmatically pulls layout arrays and capacities dynamically from the `rooms` table (matching room.csv datasets). Mandatory client browser checks handle validation rules before query routing.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Grade B Focus:</w:t>
              <w:br/>
              <w:t>UX Flow (تجربة المستخدم)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Are any additional technical evaluations needed (e.g., UX flow)?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59669"/>
                <w:sz w:val="19"/>
              </w:rPr>
              <w:t>N/A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sz w:val="19"/>
              </w:rPr>
              <w:t>Recommended future exploratory walk-throughs with actual academic staff members utilizing accessibility screen-readers to gauge interactive response delays.</w:t>
            </w:r>
          </w:p>
        </w:tc>
      </w:tr>
    </w:tbl>
    <w:p>
      <w:pPr>
        <w:pStyle w:val="Heading2"/>
        <w:spacing w:before="400" w:after="200"/>
      </w:pPr>
      <w:r>
        <w:rPr>
          <w:rFonts w:ascii="Segoe UI" w:hAnsi="Segoe UI"/>
          <w:b/>
          <w:color w:val="4F46E5"/>
        </w:rPr>
        <w:t>Grade A Criteria - Technical Recommendations for Security Optimization</w:t>
      </w:r>
    </w:p>
    <w:p>
      <w:r>
        <w:rPr>
          <w:i/>
        </w:rPr>
        <w:t>To firmly anchor a Grade A outcome, the following engineering principles have been compiled for implementation:</w:t>
        <w:br/>
      </w:r>
      <w:r>
        <w:rPr>
          <w:b/>
        </w:rPr>
        <w:t xml:space="preserve">• </w:t>
      </w:r>
      <w:r>
        <w:t>Security Enhancement: Encrypt structural system transaction tokens securely during database interaction using cryptographic SHA hashes.</w:t>
        <w:br/>
      </w:r>
      <w:r>
        <w:rPr>
          <w:b/>
        </w:rPr>
        <w:t xml:space="preserve">• </w:t>
      </w:r>
      <w:r>
        <w:t>Accessibility/WCAG Standard: Standardize form component labels to fully satisfy WCAG 2.1 Level AA parameters across active layout cards.</w:t>
        <w:br/>
      </w:r>
      <w:r>
        <w:rPr>
          <w:b/>
        </w:rPr>
        <w:t xml:space="preserve">• </w:t>
      </w:r>
      <w:r>
        <w:t>Data Safeguarding: Mandate strict SSL (HTTPS) server deployment to encrypt student/tutor room allocation traffic.</w:t>
        <w:br/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