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/>
        <w:drawing>
          <wp:inline distB="0" distT="0" distL="0" distR="0">
            <wp:extent cx="142875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4552"/>
          <w:sz w:val="34"/>
          <w:szCs w:val="34"/>
          <w:rtl w:val="0"/>
        </w:rPr>
        <w:t xml:space="preserve">Post-Workshop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8460e" w:space="8" w:sz="18" w:val="single"/>
        </w:pBd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0"/>
          <w:szCs w:val="20"/>
          <w:rtl w:val="0"/>
        </w:rPr>
        <w:t xml:space="preserve">Advanced Agentic AI Bootcamp · Philips AMD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64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7085"/>
          <w:sz w:val="20"/>
          <w:szCs w:val="20"/>
          <w:rtl w:val="0"/>
        </w:rPr>
        <w:t xml:space="preserve">A knowledge check after the two days. This measures what you take away — and helps us improve the programme.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7dee8" w:space="0" w:sz="4" w:val="single"/>
          <w:left w:color="d7dee8" w:space="0" w:sz="4" w:val="single"/>
          <w:bottom w:color="d7dee8" w:space="0" w:sz="4" w:val="single"/>
          <w:right w:color="d7dee8" w:space="0" w:sz="4" w:val="single"/>
          <w:insideH w:color="d7dee8" w:space="0" w:sz="4" w:val="single"/>
          <w:insideV w:color="d7dee8" w:space="0" w:sz="4" w:val="single"/>
        </w:tblBorders>
        <w:tblLayout w:type="fixed"/>
        <w:tblLook w:val="0000"/>
      </w:tblPr>
      <w:tblGrid>
        <w:gridCol w:w="1500"/>
        <w:gridCol w:w="3180"/>
        <w:gridCol w:w="1900"/>
        <w:gridCol w:w="2780"/>
        <w:tblGridChange w:id="0">
          <w:tblGrid>
            <w:gridCol w:w="1500"/>
            <w:gridCol w:w="3180"/>
            <w:gridCol w:w="1900"/>
            <w:gridCol w:w="2780"/>
          </w:tblGrid>
        </w:tblGridChange>
      </w:tblGrid>
      <w:tr>
        <w:trPr>
          <w:cantSplit w:val="0"/>
          <w:tblHeader w:val="0"/>
        </w:trPr>
        <w:tc>
          <w:tcPr>
            <w:shd w:fill="fdf1e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4552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f1e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4552"/>
                <w:sz w:val="19"/>
                <w:szCs w:val="19"/>
                <w:rtl w:val="0"/>
              </w:rPr>
              <w:t xml:space="preserve">Team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1e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4552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f1e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4552"/>
                <w:sz w:val="19"/>
                <w:szCs w:val="19"/>
                <w:rtl w:val="0"/>
              </w:rPr>
              <w:t xml:space="preserve">Score (office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Instructions.  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Q1–Q18 are multiple-choice — pick the single best answer. Q19–Q20 ask for a short written response. Answer from what you learned across the two days. Aim for ~15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e8460e" w:space="6" w:sz="12" w:val="single"/>
        </w:pBdr>
        <w:spacing w:after="10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4552"/>
          <w:sz w:val="26"/>
          <w:szCs w:val="26"/>
          <w:rtl w:val="0"/>
        </w:rPr>
        <w:t xml:space="preserve">Section 1 · Agents &amp; Architecture (Q1–Q5)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In a well-designed multi-agent system, hand-offs between agents should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Free-form text so agents stay flexible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Typed, structured objects that can be validated at each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Avoided entirely — one agent should do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Encrypted so no one can read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The recommended pattern for a real agent system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 single agent with as many tools as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An orchestrator delegating to focused domain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One agent per user session, never reused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 agents — just a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Q3.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To stop an agent from looping forever or exhausting resources, you should: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Buy a bigger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Bound the loop with max-steps, max-tool-calls, and a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Turn off guardrails to save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Restart the server periodically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Q4.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The six-step lab cycle used throughout the programme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Plan → Code → Test → Ship → Monitor → Repeat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Define → Pre-Hook → Build → Post-Hook → Attack &amp; Validate →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Design → Review → Approve → Deploy → Audit →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Ingest → Structure → Draft → Review → Publish →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Case Study 1 (Documentation Automation) composes which agents?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Monitor → Diagnose → Remediate →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Ingest → Structure → Draft → Review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Brief → Draft → Style/Brand → Fact-Check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Plan → Build → Test →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e8460e" w:space="6" w:sz="12" w:val="single"/>
        </w:pBdr>
        <w:spacing w:after="10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4552"/>
          <w:sz w:val="26"/>
          <w:szCs w:val="26"/>
          <w:rtl w:val="0"/>
        </w:rPr>
        <w:t xml:space="preserve">Section 2 · Guardrails &amp; Security (Q6–Q11)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Q6.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The four guardrail layers, in request-path order,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Input → Tool-call → Output →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Firewall → Antivirus → Backup →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Encrypt → Compress → Store →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Train → Test → Validate →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Q7.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Which guardrail layer enforces a call budget and a tool allowlist?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Layer 1 —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Layer 2 — Tool-call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Layer 3 —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Layer 4 —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Q8.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"Indirect prompt injection" means the malicious instruction arrives via: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 user typing it directly into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Content the agent processes — a document, web page, or tool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 GPU firmware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 model's training data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Q9.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"Defence in depth" for guardrails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One very strong guardrail is enough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 single layer is trusted alone; all four compose around every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Guardrails run only in production, never in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Only the output layer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Q10.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Which is a genuine supply-chain guardrail for your AI service?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Using the latest version of every package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Pinning exact versions and verifying a hash-locked lockfile in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Committing your API keys so the team can share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Disabling the CI gate to merge faster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 Layer-4 governance gate is essential in the Self-Healing case study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It makes the model faster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 consequential production change must get human approval before it fires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It reduces the KV cache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It replaces the need for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e8460e" w:space="6" w:sz="12" w:val="single"/>
        </w:pBdr>
        <w:spacing w:after="10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4552"/>
          <w:sz w:val="26"/>
          <w:szCs w:val="26"/>
          <w:rtl w:val="0"/>
        </w:rPr>
        <w:t xml:space="preserve">Section 3 · Models, MCP &amp; the Data Layer (Q12–Q15)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MCP lets you avoid the "N × M integrations" problem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Training one model per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Exposing tools once via a standard protocol every agent can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Copying tool code into each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Removing tools entirely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Q13.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Why is FastAPI a natural fit for an MCP server / AI service?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It is the fastest programming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It is async-native and Pydantic-typed — request/response models act as guardrail seams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It includes a built-in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It stores vectors natively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Q14.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 use case needs an embedding model + vector store when the agent must: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Only reformat text it is handed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Semantically search / retrieve relevant items from a larger corpus (RAG)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Run faster on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Avoid using any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The gateway (LiteLLM) routes model calls and also provides: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Per-seat keys, rate limits, and an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Free GPUs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Model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 vector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e8460e" w:space="6" w:sz="12" w:val="single"/>
        </w:pBdr>
        <w:spacing w:after="10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4552"/>
          <w:sz w:val="26"/>
          <w:szCs w:val="26"/>
          <w:rtl w:val="0"/>
        </w:rPr>
        <w:t xml:space="preserve">Section 4 · Attention, KV Cache &amp; GPU Concurrency (Q16–Q18)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Q16.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The KV cache exists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Store the model's weights permanently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Reuse each token's Key/Value so they aren't recomputed every step (memory for speed)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Compress the input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Encrypt the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Q17.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At long context with many concurrent users, the KV cache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Shrink to nothing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Exceed the size of the model weights and dominate GPU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Move to the CPU automatically with no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Never change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Q18.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Which is the single biggest, on-by-default win for KV-cache efficiency in vLLM?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Buying more GPUs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PagedAttention (paging the cache like virtual memory)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Turning off Flash 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Increasing max-model-len to the model's theoretical maximum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e8460e" w:space="6" w:sz="12" w:val="single"/>
        </w:pBdr>
        <w:spacing w:after="10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4552"/>
          <w:sz w:val="26"/>
          <w:szCs w:val="26"/>
          <w:rtl w:val="0"/>
        </w:rPr>
        <w:t xml:space="preserve">Section 5 · Short Written Response (Q19–Q20)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64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e7c7b"/>
          <w:sz w:val="20"/>
          <w:szCs w:val="20"/>
          <w:rtl w:val="0"/>
        </w:rPr>
        <w:t xml:space="preserve">Answer in 2–4 sentences each, in the space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Q19.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In your own words: why does "the model fits in the GPU" NOT tell you how many concurrent users it can serve? (2–4 sentences)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b4b2a9" w:space="2" w:sz="4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b4b2a9" w:space="2" w:sz="4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b4b2a9" w:space="2" w:sz="4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b4b2a9" w:space="2" w:sz="4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Q20.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Name one use case from your own Philips work where you would apply an agent + MCP server + guardrails, and briefly say what the guardrails would protect. (2–4 sentences)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b4b2a9" w:space="2" w:sz="4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b4b2a9" w:space="2" w:sz="4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b4b2a9" w:space="2" w:sz="4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b4b2a9" w:space="2" w:sz="4" w:val="single"/>
        </w:pBdr>
        <w:spacing w:after="40" w:line="3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="264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7085"/>
          <w:sz w:val="20"/>
          <w:szCs w:val="20"/>
          <w:rtl w:val="0"/>
        </w:rPr>
        <w:t xml:space="preserve">Thank you. Your answers help us measure the programme's impact and tailor any follow-up. An answer key (Q1–Q18) is provided separately to facilitators.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color="d7dee8" w:space="4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667085"/>
        <w:sz w:val="15"/>
        <w:szCs w:val="15"/>
        <w:rtl w:val="0"/>
      </w:rPr>
      <w:t xml:space="preserve">UNext Learning · Advanced Agentic AI Bootcamp · Confidential   |   Page </w:t>
    </w:r>
    <w:r w:rsidDel="00000000" w:rsidR="00000000" w:rsidRPr="00000000">
      <w:rPr>
        <w:rFonts w:ascii="Calibri" w:cs="Calibri" w:eastAsia="Calibri" w:hAnsi="Calibri"/>
        <w:color w:val="667085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67085"/>
        <w:sz w:val="15"/>
        <w:szCs w:val="15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667085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bottom w:color="d7dee8" w:space="4" w:sz="4" w:val="single"/>
      </w:pBdr>
      <w:rPr/>
    </w:pPr>
    <w:r w:rsidDel="00000000" w:rsidR="00000000" w:rsidRPr="00000000">
      <w:rPr>
        <w:rFonts w:ascii="Calibri" w:cs="Calibri" w:eastAsia="Calibri" w:hAnsi="Calibri"/>
        <w:color w:val="667085"/>
        <w:sz w:val="16"/>
        <w:szCs w:val="16"/>
        <w:rtl w:val="0"/>
      </w:rPr>
      <w:t xml:space="preserve">Post-Workshop Questionnaire · Advanced Agentic AI Bootcamp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