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4E79" w:sz="3"/>
              <w:left w:val="single" w:color="1F4E79" w:sz="3"/>
              <w:bottom w:val="single" w:color="1F4E79" w:sz="3"/>
              <w:right w:val="single" w:color="1F4E79" w:sz="3"/>
            </w:tcBorders>
            <w:shd w:fill="1F4E79" w:val="clear"/>
            <w:tcMar>
              <w:top w:type="dxa" w:w="280"/>
              <w:left w:type="dxa" w:w="300"/>
              <w:bottom w:type="dxa" w:w="280"/>
              <w:right w:type="dxa" w:w="300"/>
            </w:tcMar>
          </w:tcPr>
          <w:p>
            <w:pPr>
              <w:spacing w:after="60" w:before="0"/>
              <w:jc w:val="center"/>
            </w:pPr>
            <w:r>
              <w:rPr>
                <w:rFonts w:ascii="Arial" w:cs="Arial" w:eastAsia="Arial" w:hAnsi="Arial"/>
                <w:b/>
                <w:bCs/>
                <w:i w:val="false"/>
                <w:iCs w:val="false"/>
                <w:color w:val="A8D5F5"/>
                <w:sz w:val="14"/>
                <w:szCs w:val="14"/>
              </w:rPr>
              <w:t xml:space="preserve">CISCO 820-605 CSM EXAM PREP</w:t>
            </w:r>
          </w:p>
          <w:p>
            <w:pPr>
              <w:spacing w:after="60" w:before="0"/>
              <w:jc w:val="center"/>
            </w:pPr>
            <w:r>
              <w:rPr>
                <w:rFonts w:ascii="Arial" w:cs="Arial" w:eastAsia="Arial" w:hAnsi="Arial"/>
                <w:b/>
                <w:bCs/>
                <w:i w:val="false"/>
                <w:iCs w:val="false"/>
                <w:color w:val="FFFFFF"/>
                <w:sz w:val="38"/>
                <w:szCs w:val="38"/>
              </w:rPr>
              <w:t xml:space="preserve">DAY 1 — SUBSCRIPTION MODEL DEEP DIVE</w:t>
            </w:r>
          </w:p>
          <w:p>
            <w:pPr>
              <w:spacing w:after="40" w:before="0"/>
              <w:jc w:val="center"/>
            </w:pPr>
            <w:r>
              <w:rPr>
                <w:rFonts w:ascii="Arial" w:cs="Arial" w:eastAsia="Arial" w:hAnsi="Arial"/>
                <w:b w:val="false"/>
                <w:bCs w:val="false"/>
                <w:i w:val="false"/>
                <w:iCs w:val="false"/>
                <w:color w:val="D6EAF8"/>
                <w:sz w:val="21"/>
                <w:szCs w:val="21"/>
              </w:rPr>
              <w:t xml:space="preserve">Subscription vs. Perpetual  |  ARR, MRR, TCV  |  Churn, NRR, GRR  |  10 Practice Questions</w:t>
            </w:r>
          </w:p>
          <w:p>
            <w:pPr>
              <w:spacing w:after="0" w:before="0"/>
              <w:jc w:val="center"/>
            </w:pPr>
            <w:r>
              <w:rPr>
                <w:rFonts w:ascii="Arial" w:cs="Arial" w:eastAsia="Arial" w:hAnsi="Arial"/>
                <w:b w:val="false"/>
                <w:bCs w:val="false"/>
                <w:i w:val="false"/>
                <w:iCs w:val="false"/>
                <w:color w:val="AED6F1"/>
                <w:sz w:val="19"/>
                <w:szCs w:val="19"/>
              </w:rPr>
              <w:t xml:space="preserve">Study Date: Monday, June 1, 2025  |  Estimated Study Time: 3–4 Hours</w:t>
            </w:r>
          </w:p>
        </w:tc>
      </w:tr>
    </w:tbl>
    <w:p>
      <w:pPr>
        <w:spacing w:after="0" w:before="180"/>
        <w:jc w:val="left"/>
      </w:pPr>
      <w:r>
        <w:rPr>
          <w:rFonts w:ascii="Arial" w:cs="Arial" w:eastAsia="Arial" w:hAnsi="Arial"/>
          <w:b w:val="false"/>
          <w:bCs w:val="false"/>
          <w:i w:val="false"/>
          <w:iCs w:val="false"/>
          <w:color w:val="2D2D2D"/>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4E79" w:sz="3"/>
              <w:left w:val="single" w:color="1F4E79" w:sz="3"/>
              <w:bottom w:val="single" w:color="1F4E79" w:sz="3"/>
              <w:right w:val="single" w:color="1F4E79" w:sz="3"/>
            </w:tcBorders>
            <w:shd w:fill="2E75B6" w:val="clear"/>
            <w:tcMar>
              <w:top w:type="dxa" w:w="100"/>
              <w:left w:type="dxa" w:w="200"/>
              <w:bottom w:type="dxa" w:w="100"/>
              <w:right w:type="dxa" w:w="200"/>
            </w:tcMar>
          </w:tcPr>
          <w:p>
            <w:pPr>
              <w:spacing w:after="80" w:before="80"/>
              <w:jc w:val="center"/>
            </w:pPr>
            <w:r>
              <w:rPr>
                <w:rFonts w:ascii="Arial" w:cs="Arial" w:eastAsia="Arial" w:hAnsi="Arial"/>
                <w:b/>
                <w:bCs/>
                <w:i w:val="false"/>
                <w:iCs w:val="false"/>
                <w:color w:val="FFFFFF"/>
                <w:sz w:val="22"/>
                <w:szCs w:val="22"/>
              </w:rPr>
              <w:t xml:space="preserve">WHAT YOU WILL LEARN TODAY</w:t>
            </w:r>
          </w:p>
        </w:tc>
      </w:tr>
      <w:tr>
        <w:tc>
          <w:tcPr>
            <w:tcW w:type="dxa" w:w="10080"/>
            <w:tcBorders>
              <w:top w:val="single" w:color="CCCCCC" w:sz="1"/>
              <w:left w:val="single" w:color="CCCCCC" w:sz="1"/>
              <w:bottom w:val="single" w:color="CCCCCC" w:sz="1"/>
              <w:right w:val="single" w:color="CCCCCC" w:sz="1"/>
            </w:tcBorders>
            <w:shd w:fill="EBF5FB" w:val="clear"/>
            <w:tcMar>
              <w:top w:type="dxa" w:w="100"/>
              <w:left w:type="dxa" w:w="200"/>
              <w:bottom w:type="dxa" w:w="100"/>
              <w:right w:type="dxa" w:w="200"/>
            </w:tcMar>
          </w:tcPr>
          <w:p>
            <w:pPr>
              <w:spacing w:after="80" w:before="80"/>
              <w:jc w:val="left"/>
            </w:pPr>
            <w:r>
              <w:rPr>
                <w:rFonts w:ascii="Arial" w:cs="Arial" w:eastAsia="Arial" w:hAnsi="Arial"/>
                <w:b/>
                <w:bCs/>
                <w:i w:val="false"/>
                <w:iCs w:val="false"/>
                <w:color w:val="1F4E79"/>
                <w:sz w:val="20"/>
                <w:szCs w:val="20"/>
              </w:rPr>
              <w:t xml:space="preserve">SECTION 1  </w:t>
            </w:r>
            <w:r>
              <w:rPr>
                <w:rFonts w:ascii="Arial" w:cs="Arial" w:eastAsia="Arial" w:hAnsi="Arial"/>
                <w:b w:val="false"/>
                <w:bCs w:val="false"/>
                <w:i w:val="false"/>
                <w:iCs w:val="false"/>
                <w:color w:val="333333"/>
                <w:sz w:val="20"/>
                <w:szCs w:val="20"/>
              </w:rPr>
              <w:t xml:space="preserve">Subscription vs. Perpetual Licensing Models — Core Differences, Pros &amp; Cons, CSM Implications</w:t>
            </w:r>
          </w:p>
        </w:tc>
      </w:tr>
      <w:tr>
        <w:tc>
          <w:tcPr>
            <w:tcW w:type="dxa" w:w="10080"/>
            <w:tcBorders>
              <w:top w:val="single" w:color="CCCCCC" w:sz="1"/>
              <w:left w:val="single" w:color="CCCCCC" w:sz="1"/>
              <w:bottom w:val="single" w:color="CCCCCC" w:sz="1"/>
              <w:right w:val="single" w:color="CCCCCC" w:sz="1"/>
            </w:tcBorders>
            <w:shd w:fill="EBF5FB" w:val="clear"/>
            <w:tcMar>
              <w:top w:type="dxa" w:w="100"/>
              <w:left w:type="dxa" w:w="200"/>
              <w:bottom w:type="dxa" w:w="100"/>
              <w:right w:type="dxa" w:w="200"/>
            </w:tcMar>
          </w:tcPr>
          <w:p>
            <w:pPr>
              <w:spacing w:after="80" w:before="80"/>
              <w:jc w:val="left"/>
            </w:pPr>
            <w:r>
              <w:rPr>
                <w:rFonts w:ascii="Arial" w:cs="Arial" w:eastAsia="Arial" w:hAnsi="Arial"/>
                <w:b/>
                <w:bCs/>
                <w:i w:val="false"/>
                <w:iCs w:val="false"/>
                <w:color w:val="1F4E79"/>
                <w:sz w:val="20"/>
                <w:szCs w:val="20"/>
              </w:rPr>
              <w:t xml:space="preserve">SECTION 2  </w:t>
            </w:r>
            <w:r>
              <w:rPr>
                <w:rFonts w:ascii="Arial" w:cs="Arial" w:eastAsia="Arial" w:hAnsi="Arial"/>
                <w:b w:val="false"/>
                <w:bCs w:val="false"/>
                <w:i w:val="false"/>
                <w:iCs w:val="false"/>
                <w:color w:val="333333"/>
                <w:sz w:val="20"/>
                <w:szCs w:val="20"/>
              </w:rPr>
              <w:t xml:space="preserve">ARR, MRR, TCV — Definitions, Formulas, Worked Examples, and Exam Tips</w:t>
            </w:r>
          </w:p>
        </w:tc>
      </w:tr>
      <w:tr>
        <w:tc>
          <w:tcPr>
            <w:tcW w:type="dxa" w:w="10080"/>
            <w:tcBorders>
              <w:top w:val="single" w:color="CCCCCC" w:sz="1"/>
              <w:left w:val="single" w:color="CCCCCC" w:sz="1"/>
              <w:bottom w:val="single" w:color="CCCCCC" w:sz="1"/>
              <w:right w:val="single" w:color="CCCCCC" w:sz="1"/>
            </w:tcBorders>
            <w:shd w:fill="EBF5FB" w:val="clear"/>
            <w:tcMar>
              <w:top w:type="dxa" w:w="100"/>
              <w:left w:type="dxa" w:w="200"/>
              <w:bottom w:type="dxa" w:w="100"/>
              <w:right w:type="dxa" w:w="200"/>
            </w:tcMar>
          </w:tcPr>
          <w:p>
            <w:pPr>
              <w:spacing w:after="80" w:before="80"/>
              <w:jc w:val="left"/>
            </w:pPr>
            <w:r>
              <w:rPr>
                <w:rFonts w:ascii="Arial" w:cs="Arial" w:eastAsia="Arial" w:hAnsi="Arial"/>
                <w:b/>
                <w:bCs/>
                <w:i w:val="false"/>
                <w:iCs w:val="false"/>
                <w:color w:val="1F4E79"/>
                <w:sz w:val="20"/>
                <w:szCs w:val="20"/>
              </w:rPr>
              <w:t xml:space="preserve">SECTION 3  </w:t>
            </w:r>
            <w:r>
              <w:rPr>
                <w:rFonts w:ascii="Arial" w:cs="Arial" w:eastAsia="Arial" w:hAnsi="Arial"/>
                <w:b w:val="false"/>
                <w:bCs w:val="false"/>
                <w:i w:val="false"/>
                <w:iCs w:val="false"/>
                <w:color w:val="333333"/>
                <w:sz w:val="20"/>
                <w:szCs w:val="20"/>
              </w:rPr>
              <w:t xml:space="preserve">Key Subscription Metrics — Churn Rate, NRR (Net Revenue Retention), GRR (Gross Revenue Retention)</w:t>
            </w:r>
          </w:p>
        </w:tc>
      </w:tr>
      <w:tr>
        <w:tc>
          <w:tcPr>
            <w:tcW w:type="dxa" w:w="10080"/>
            <w:tcBorders>
              <w:top w:val="single" w:color="CCCCCC" w:sz="1"/>
              <w:left w:val="single" w:color="CCCCCC" w:sz="1"/>
              <w:bottom w:val="single" w:color="CCCCCC" w:sz="1"/>
              <w:right w:val="single" w:color="CCCCCC" w:sz="1"/>
            </w:tcBorders>
            <w:shd w:fill="EBF5FB" w:val="clear"/>
            <w:tcMar>
              <w:top w:type="dxa" w:w="100"/>
              <w:left w:type="dxa" w:w="200"/>
              <w:bottom w:type="dxa" w:w="100"/>
              <w:right w:type="dxa" w:w="200"/>
            </w:tcMar>
          </w:tcPr>
          <w:p>
            <w:pPr>
              <w:spacing w:after="80" w:before="80"/>
              <w:jc w:val="left"/>
            </w:pPr>
            <w:r>
              <w:rPr>
                <w:rFonts w:ascii="Arial" w:cs="Arial" w:eastAsia="Arial" w:hAnsi="Arial"/>
                <w:b/>
                <w:bCs/>
                <w:i w:val="false"/>
                <w:iCs w:val="false"/>
                <w:color w:val="1F4E79"/>
                <w:sz w:val="20"/>
                <w:szCs w:val="20"/>
              </w:rPr>
              <w:t xml:space="preserve">SECTION 4  </w:t>
            </w:r>
            <w:r>
              <w:rPr>
                <w:rFonts w:ascii="Arial" w:cs="Arial" w:eastAsia="Arial" w:hAnsi="Arial"/>
                <w:b w:val="false"/>
                <w:bCs w:val="false"/>
                <w:i w:val="false"/>
                <w:iCs w:val="false"/>
                <w:color w:val="333333"/>
                <w:sz w:val="20"/>
                <w:szCs w:val="20"/>
              </w:rPr>
              <w:t xml:space="preserve">10 Practice Questions with Detailed Answers — Exam-Style Scenario Questions</w:t>
            </w:r>
          </w:p>
        </w:tc>
      </w:tr>
    </w:tbl>
    <w:p>
      <w:pPr>
        <w:spacing w:after="0" w:before="20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F4E79" w:sz="3"/>
              <w:left w:val="single" w:color="1F4E79" w:sz="3"/>
              <w:bottom w:val="single" w:color="1F4E79" w:sz="3"/>
              <w:right w:val="single" w:color="1F4E79" w:sz="3"/>
            </w:tcBorders>
            <w:shd w:fill="1F4E79" w:val="clear"/>
            <w:tcMar>
              <w:top w:type="dxa" w:w="120"/>
              <w:left w:type="dxa" w:w="120"/>
              <w:bottom w:type="dxa" w:w="120"/>
              <w:right w:type="dxa" w:w="120"/>
            </w:tcMar>
            <w:vAlign w:val="center"/>
          </w:tcPr>
          <w:p>
            <w:pPr>
              <w:spacing w:after="80" w:before="80"/>
              <w:jc w:val="center"/>
            </w:pPr>
            <w:r>
              <w:rPr>
                <w:rFonts w:ascii="Arial" w:cs="Arial" w:eastAsia="Arial" w:hAnsi="Arial"/>
                <w:b/>
                <w:bCs/>
                <w:i w:val="false"/>
                <w:iCs w:val="false"/>
                <w:color w:val="FFFFFF"/>
                <w:sz w:val="28"/>
                <w:szCs w:val="28"/>
              </w:rPr>
              <w:t xml:space="preserve">01</w:t>
            </w:r>
          </w:p>
        </w:tc>
        <w:tc>
          <w:tcPr>
            <w:tcW w:type="dxa" w:w="8660"/>
            <w:tcBorders>
              <w:top w:val="single" w:color="1F4E79" w:sz="3"/>
              <w:left w:val="single" w:color="1F4E79" w:sz="3"/>
              <w:bottom w:val="single" w:color="1F4E79" w:sz="3"/>
              <w:right w:val="single" w:color="1F4E79" w:sz="3"/>
            </w:tcBorders>
            <w:shd w:fill="EBF5FB" w:val="clear"/>
            <w:tcMar>
              <w:top w:type="dxa" w:w="120"/>
              <w:left w:type="dxa" w:w="180"/>
              <w:bottom w:type="dxa" w:w="120"/>
              <w:right w:type="dxa" w:w="120"/>
            </w:tcMar>
            <w:vAlign w:val="center"/>
          </w:tcPr>
          <w:p>
            <w:pPr>
              <w:spacing w:after="80" w:before="80"/>
              <w:jc w:val="left"/>
            </w:pPr>
            <w:r>
              <w:rPr>
                <w:rFonts w:ascii="Arial" w:cs="Arial" w:eastAsia="Arial" w:hAnsi="Arial"/>
                <w:b/>
                <w:bCs/>
                <w:i w:val="false"/>
                <w:iCs w:val="false"/>
                <w:color w:val="1F4E79"/>
                <w:sz w:val="26"/>
                <w:szCs w:val="26"/>
              </w:rPr>
              <w:t xml:space="preserve">Subscription vs. Perpetual Licensing Models</w:t>
            </w:r>
          </w:p>
        </w:tc>
      </w:tr>
    </w:tbl>
    <w:p>
      <w:pPr>
        <w:spacing w:after="0" w:before="120"/>
        <w:jc w:val="left"/>
      </w:pPr>
      <w:r>
        <w:rPr>
          <w:rFonts w:ascii="Arial" w:cs="Arial" w:eastAsia="Arial" w:hAnsi="Arial"/>
          <w:b w:val="false"/>
          <w:bCs w:val="false"/>
          <w:i w:val="false"/>
          <w:iCs w:val="false"/>
          <w:color w:val="2D2D2D"/>
          <w:sz w:val="22"/>
          <w:szCs w:val="22"/>
        </w:rPr>
        <w:t xml:space="preserve"/>
      </w:r>
    </w:p>
    <w:p>
      <w:pPr>
        <w:pStyle w:val="Heading2"/>
        <w:spacing w:after="100" w:before="280"/>
        <w:jc w:val="left"/>
      </w:pPr>
      <w:r>
        <w:rPr>
          <w:rFonts w:ascii="Arial" w:cs="Arial" w:eastAsia="Arial" w:hAnsi="Arial"/>
          <w:b/>
          <w:bCs/>
          <w:i w:val="false"/>
          <w:iCs w:val="false"/>
          <w:color w:val="2E75B6"/>
          <w:sz w:val="27"/>
          <w:szCs w:val="27"/>
        </w:rPr>
        <w:t xml:space="preserve">1.1  What Is a Perpetual License?</w:t>
      </w:r>
    </w:p>
    <w:p>
      <w:pPr>
        <w:spacing w:after="60" w:before="60"/>
        <w:jc w:val="left"/>
      </w:pPr>
      <w:r>
        <w:rPr>
          <w:rFonts w:ascii="Arial" w:cs="Arial" w:eastAsia="Arial" w:hAnsi="Arial"/>
          <w:b w:val="false"/>
          <w:bCs w:val="false"/>
          <w:i w:val="false"/>
          <w:iCs w:val="false"/>
          <w:color w:val="2D2D2D"/>
          <w:sz w:val="22"/>
          <w:szCs w:val="22"/>
        </w:rPr>
        <w:t xml:space="preserve">A perpetual license is a one-time purchase where the customer buys the right to use software indefinitely. The customer pays a large upfront fee and owns that version of the software forever. Optional annual maintenance or support contracts (typically 15–22% of the license cost) provide access to updates and technical support.</w:t>
      </w:r>
    </w:p>
    <w:p>
      <w:pPr>
        <w:spacing w:after="0" w:before="60"/>
        <w:jc w:val="left"/>
      </w:pPr>
      <w:r>
        <w:rPr>
          <w:rFonts w:ascii="Arial" w:cs="Arial" w:eastAsia="Arial" w:hAnsi="Arial"/>
          <w:b w:val="false"/>
          <w:bCs w:val="false"/>
          <w:i w:val="false"/>
          <w:iCs w:val="false"/>
          <w:color w:val="2D2D2D"/>
          <w:sz w:val="22"/>
          <w:szCs w:val="22"/>
        </w:rPr>
        <w:t xml:space="preserve"/>
      </w:r>
    </w:p>
    <w:p>
      <w:pPr>
        <w:pStyle w:val="Heading3"/>
        <w:spacing w:after="80" w:before="200"/>
        <w:jc w:val="left"/>
      </w:pPr>
      <w:r>
        <w:rPr>
          <w:rFonts w:ascii="Arial" w:cs="Arial" w:eastAsia="Arial" w:hAnsi="Arial"/>
          <w:b/>
          <w:bCs/>
          <w:i w:val="false"/>
          <w:iCs w:val="false"/>
          <w:color w:val="1A5276"/>
          <w:sz w:val="23"/>
          <w:szCs w:val="23"/>
        </w:rPr>
        <w:t xml:space="preserve">Key Characteristics of Perpetual Licensing:</w:t>
      </w:r>
    </w:p>
    <w:p>
      <w:pPr>
        <w:pStyle w:val="ListParagraph"/>
        <w:numPr>
          <w:ilvl w:val="0"/>
          <w:numId w:val="2"/>
        </w:numPr>
        <w:spacing w:after="50" w:before="50"/>
      </w:pPr>
      <w:r>
        <w:rPr>
          <w:rFonts w:ascii="Arial" w:cs="Arial" w:eastAsia="Arial" w:hAnsi="Arial"/>
          <w:b w:val="false"/>
          <w:bCs w:val="false"/>
          <w:i w:val="false"/>
          <w:iCs w:val="false"/>
          <w:color w:val="2D2D2D"/>
          <w:sz w:val="21"/>
          <w:szCs w:val="21"/>
        </w:rPr>
        <w:t xml:space="preserve">One-time, large upfront payment — revenue is recognized immediately by the vendor</w:t>
      </w:r>
    </w:p>
    <w:p>
      <w:pPr>
        <w:pStyle w:val="ListParagraph"/>
        <w:numPr>
          <w:ilvl w:val="0"/>
          <w:numId w:val="2"/>
        </w:numPr>
        <w:spacing w:after="50" w:before="50"/>
      </w:pPr>
      <w:r>
        <w:rPr>
          <w:rFonts w:ascii="Arial" w:cs="Arial" w:eastAsia="Arial" w:hAnsi="Arial"/>
          <w:b w:val="false"/>
          <w:bCs w:val="false"/>
          <w:i w:val="false"/>
          <w:iCs w:val="false"/>
          <w:color w:val="2D2D2D"/>
          <w:sz w:val="21"/>
          <w:szCs w:val="21"/>
        </w:rPr>
        <w:t xml:space="preserve">Customer owns the license permanently (that specific version)</w:t>
      </w:r>
    </w:p>
    <w:p>
      <w:pPr>
        <w:pStyle w:val="ListParagraph"/>
        <w:numPr>
          <w:ilvl w:val="0"/>
          <w:numId w:val="2"/>
        </w:numPr>
        <w:spacing w:after="50" w:before="50"/>
      </w:pPr>
      <w:r>
        <w:rPr>
          <w:rFonts w:ascii="Arial" w:cs="Arial" w:eastAsia="Arial" w:hAnsi="Arial"/>
          <w:b w:val="false"/>
          <w:bCs w:val="false"/>
          <w:i w:val="false"/>
          <w:iCs w:val="false"/>
          <w:color w:val="2D2D2D"/>
          <w:sz w:val="21"/>
          <w:szCs w:val="21"/>
        </w:rPr>
        <w:t xml:space="preserve">Optional annual maintenance/support fee (paid separately, not always renewed)</w:t>
      </w:r>
    </w:p>
    <w:p>
      <w:pPr>
        <w:pStyle w:val="ListParagraph"/>
        <w:numPr>
          <w:ilvl w:val="0"/>
          <w:numId w:val="2"/>
        </w:numPr>
        <w:spacing w:after="50" w:before="50"/>
      </w:pPr>
      <w:r>
        <w:rPr>
          <w:rFonts w:ascii="Arial" w:cs="Arial" w:eastAsia="Arial" w:hAnsi="Arial"/>
          <w:b w:val="false"/>
          <w:bCs w:val="false"/>
          <w:i w:val="false"/>
          <w:iCs w:val="false"/>
          <w:color w:val="2D2D2D"/>
          <w:sz w:val="21"/>
          <w:szCs w:val="21"/>
        </w:rPr>
        <w:t xml:space="preserve">Software updates often require purchasing a new version or upgrade</w:t>
      </w:r>
    </w:p>
    <w:p>
      <w:pPr>
        <w:pStyle w:val="ListParagraph"/>
        <w:numPr>
          <w:ilvl w:val="0"/>
          <w:numId w:val="2"/>
        </w:numPr>
        <w:spacing w:after="50" w:before="50"/>
      </w:pPr>
      <w:r>
        <w:rPr>
          <w:rFonts w:ascii="Arial" w:cs="Arial" w:eastAsia="Arial" w:hAnsi="Arial"/>
          <w:b w:val="false"/>
          <w:bCs w:val="false"/>
          <w:i w:val="false"/>
          <w:iCs w:val="false"/>
          <w:color w:val="2D2D2D"/>
          <w:sz w:val="21"/>
          <w:szCs w:val="21"/>
        </w:rPr>
        <w:t xml:space="preserve">Customer manages deployment, infrastructure, and hardware on-premises</w:t>
      </w:r>
    </w:p>
    <w:p>
      <w:pPr>
        <w:pStyle w:val="ListParagraph"/>
        <w:numPr>
          <w:ilvl w:val="0"/>
          <w:numId w:val="2"/>
        </w:numPr>
        <w:spacing w:after="50" w:before="50"/>
      </w:pPr>
      <w:r>
        <w:rPr>
          <w:rFonts w:ascii="Arial" w:cs="Arial" w:eastAsia="Arial" w:hAnsi="Arial"/>
          <w:b w:val="false"/>
          <w:bCs w:val="false"/>
          <w:i w:val="false"/>
          <w:iCs w:val="false"/>
          <w:color w:val="2D2D2D"/>
          <w:sz w:val="21"/>
          <w:szCs w:val="21"/>
        </w:rPr>
        <w:t xml:space="preserve">Common in legacy enterprise software: older ERP, networking OS licenses</w:t>
      </w:r>
    </w:p>
    <w:p>
      <w:pPr>
        <w:spacing w:after="0" w:before="8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single" w:color="1F4E79" w:sz="3"/>
              <w:bottom w:val="single" w:color="1F4E79" w:sz="3"/>
              <w:right w:val="single" w:color="1F4E79" w:sz="3"/>
            </w:tcBorders>
            <w:shd w:fill="1F4E79" w:val="clear"/>
            <w:tcMar>
              <w:top w:type="dxa" w:w="80"/>
              <w:left w:type="dxa" w:w="180"/>
              <w:bottom w:type="dxa" w:w="80"/>
              <w:right w:type="dxa" w:w="180"/>
            </w:tcMar>
          </w:tcPr>
          <w:p>
            <w:pPr>
              <w:spacing w:after="80" w:before="80"/>
              <w:jc w:val="left"/>
            </w:pPr>
            <w:r>
              <w:rPr>
                <w:rFonts w:ascii="Arial" w:cs="Arial" w:eastAsia="Arial" w:hAnsi="Arial"/>
                <w:b/>
                <w:bCs/>
                <w:i w:val="false"/>
                <w:iCs w:val="false"/>
                <w:color w:val="FFFFFF"/>
                <w:sz w:val="20"/>
                <w:szCs w:val="20"/>
              </w:rPr>
              <w:t xml:space="preserve">EXAM TIP — Perpetual Model</w:t>
            </w:r>
          </w:p>
        </w:tc>
      </w:tr>
      <w:tr>
        <w:tc>
          <w:tcPr>
            <w:tcW w:type="dxa" w:w="9360"/>
            <w:tcBorders>
              <w:top w:val="single" w:color="1F4E79" w:sz="3"/>
              <w:left w:val="single" w:color="1F4E79" w:sz="3"/>
              <w:bottom w:val="single" w:color="1F4E79" w:sz="3"/>
              <w:right w:val="single" w:color="1F4E79" w:sz="3"/>
            </w:tcBorders>
            <w:shd w:fill="FFF3CD" w:val="clear"/>
            <w:tcMar>
              <w:top w:type="dxa" w:w="120"/>
              <w:left w:type="dxa" w:w="200"/>
              <w:bottom w:type="dxa" w:w="120"/>
              <w:right w:type="dxa" w:w="200"/>
            </w:tcMar>
          </w:tcPr>
          <w:p>
            <w:pPr>
              <w:spacing w:after="80" w:before="80"/>
              <w:jc w:val="left"/>
            </w:pPr>
            <w:r>
              <w:rPr>
                <w:rFonts w:ascii="Arial" w:cs="Arial" w:eastAsia="Arial" w:hAnsi="Arial"/>
                <w:b w:val="false"/>
                <w:bCs w:val="false"/>
                <w:i w:val="false"/>
                <w:iCs w:val="false"/>
                <w:color w:val="7D4E00"/>
                <w:sz w:val="21"/>
                <w:szCs w:val="21"/>
              </w:rPr>
              <w:t xml:space="preserve">EXAM TIP: In perpetual licensing, the vendor's revenue is front-loaded — most revenue comes at the point of sale. The CSM role is minimal or non-existent because there is no recurring revenue at stake after the initial purchase.</w:t>
            </w:r>
          </w:p>
        </w:tc>
      </w:tr>
    </w:tbl>
    <w:p>
      <w:pPr>
        <w:spacing w:after="0" w:before="140"/>
        <w:jc w:val="left"/>
      </w:pPr>
      <w:r>
        <w:rPr>
          <w:rFonts w:ascii="Arial" w:cs="Arial" w:eastAsia="Arial" w:hAnsi="Arial"/>
          <w:b w:val="false"/>
          <w:bCs w:val="false"/>
          <w:i w:val="false"/>
          <w:iCs w:val="false"/>
          <w:color w:val="2D2D2D"/>
          <w:sz w:val="22"/>
          <w:szCs w:val="22"/>
        </w:rPr>
        <w:t xml:space="preserve"/>
      </w:r>
    </w:p>
    <w:p>
      <w:pPr>
        <w:pStyle w:val="Heading2"/>
        <w:spacing w:after="100" w:before="280"/>
        <w:jc w:val="left"/>
      </w:pPr>
      <w:r>
        <w:rPr>
          <w:rFonts w:ascii="Arial" w:cs="Arial" w:eastAsia="Arial" w:hAnsi="Arial"/>
          <w:b/>
          <w:bCs/>
          <w:i w:val="false"/>
          <w:iCs w:val="false"/>
          <w:color w:val="2E75B6"/>
          <w:sz w:val="27"/>
          <w:szCs w:val="27"/>
        </w:rPr>
        <w:t xml:space="preserve">1.2  What Is a Subscription License?</w:t>
      </w:r>
    </w:p>
    <w:p>
      <w:pPr>
        <w:spacing w:after="60" w:before="60"/>
        <w:jc w:val="left"/>
      </w:pPr>
      <w:r>
        <w:rPr>
          <w:rFonts w:ascii="Arial" w:cs="Arial" w:eastAsia="Arial" w:hAnsi="Arial"/>
          <w:b w:val="false"/>
          <w:bCs w:val="false"/>
          <w:i w:val="false"/>
          <w:iCs w:val="false"/>
          <w:color w:val="2D2D2D"/>
          <w:sz w:val="22"/>
          <w:szCs w:val="22"/>
        </w:rPr>
        <w:t xml:space="preserve">A subscription license grants the customer the right to use software for a defined period (monthly or annually) in exchange for recurring payments. The customer does not own the software — access continues only while payments are made. Most modern SaaS (Software as a Service) and cloud-based solutions use this model.</w:t>
      </w:r>
    </w:p>
    <w:p>
      <w:pPr>
        <w:spacing w:after="0" w:before="60"/>
        <w:jc w:val="left"/>
      </w:pPr>
      <w:r>
        <w:rPr>
          <w:rFonts w:ascii="Arial" w:cs="Arial" w:eastAsia="Arial" w:hAnsi="Arial"/>
          <w:b w:val="false"/>
          <w:bCs w:val="false"/>
          <w:i w:val="false"/>
          <w:iCs w:val="false"/>
          <w:color w:val="2D2D2D"/>
          <w:sz w:val="22"/>
          <w:szCs w:val="22"/>
        </w:rPr>
        <w:t xml:space="preserve"/>
      </w:r>
    </w:p>
    <w:p>
      <w:pPr>
        <w:pStyle w:val="Heading3"/>
        <w:spacing w:after="80" w:before="200"/>
        <w:jc w:val="left"/>
      </w:pPr>
      <w:r>
        <w:rPr>
          <w:rFonts w:ascii="Arial" w:cs="Arial" w:eastAsia="Arial" w:hAnsi="Arial"/>
          <w:b/>
          <w:bCs/>
          <w:i w:val="false"/>
          <w:iCs w:val="false"/>
          <w:color w:val="1A5276"/>
          <w:sz w:val="23"/>
          <w:szCs w:val="23"/>
        </w:rPr>
        <w:t xml:space="preserve">Key Characteristics of Subscription Licensing:</w:t>
      </w:r>
    </w:p>
    <w:p>
      <w:pPr>
        <w:pStyle w:val="ListParagraph"/>
        <w:numPr>
          <w:ilvl w:val="0"/>
          <w:numId w:val="2"/>
        </w:numPr>
        <w:spacing w:after="50" w:before="50"/>
      </w:pPr>
      <w:r>
        <w:rPr>
          <w:rFonts w:ascii="Arial" w:cs="Arial" w:eastAsia="Arial" w:hAnsi="Arial"/>
          <w:b w:val="false"/>
          <w:bCs w:val="false"/>
          <w:i w:val="false"/>
          <w:iCs w:val="false"/>
          <w:color w:val="2D2D2D"/>
          <w:sz w:val="21"/>
          <w:szCs w:val="21"/>
        </w:rPr>
        <w:t xml:space="preserve">Recurring payments — monthly or annual — revenue is spread over the contract term</w:t>
      </w:r>
    </w:p>
    <w:p>
      <w:pPr>
        <w:pStyle w:val="ListParagraph"/>
        <w:numPr>
          <w:ilvl w:val="0"/>
          <w:numId w:val="2"/>
        </w:numPr>
        <w:spacing w:after="50" w:before="50"/>
      </w:pPr>
      <w:r>
        <w:rPr>
          <w:rFonts w:ascii="Arial" w:cs="Arial" w:eastAsia="Arial" w:hAnsi="Arial"/>
          <w:b w:val="false"/>
          <w:bCs w:val="false"/>
          <w:i w:val="false"/>
          <w:iCs w:val="false"/>
          <w:color w:val="2D2D2D"/>
          <w:sz w:val="21"/>
          <w:szCs w:val="21"/>
        </w:rPr>
        <w:t xml:space="preserve">Customer rents access, not ownership — they must renew to maintain access</w:t>
      </w:r>
    </w:p>
    <w:p>
      <w:pPr>
        <w:pStyle w:val="ListParagraph"/>
        <w:numPr>
          <w:ilvl w:val="0"/>
          <w:numId w:val="2"/>
        </w:numPr>
        <w:spacing w:after="50" w:before="50"/>
      </w:pPr>
      <w:r>
        <w:rPr>
          <w:rFonts w:ascii="Arial" w:cs="Arial" w:eastAsia="Arial" w:hAnsi="Arial"/>
          <w:b w:val="false"/>
          <w:bCs w:val="false"/>
          <w:i w:val="false"/>
          <w:iCs w:val="false"/>
          <w:color w:val="2D2D2D"/>
          <w:sz w:val="21"/>
          <w:szCs w:val="21"/>
        </w:rPr>
        <w:t xml:space="preserve">Updates, new features, and support are typically included in the subscription fee</w:t>
      </w:r>
    </w:p>
    <w:p>
      <w:pPr>
        <w:pStyle w:val="ListParagraph"/>
        <w:numPr>
          <w:ilvl w:val="0"/>
          <w:numId w:val="2"/>
        </w:numPr>
        <w:spacing w:after="50" w:before="50"/>
      </w:pPr>
      <w:r>
        <w:rPr>
          <w:rFonts w:ascii="Arial" w:cs="Arial" w:eastAsia="Arial" w:hAnsi="Arial"/>
          <w:b w:val="false"/>
          <w:bCs w:val="false"/>
          <w:i w:val="false"/>
          <w:iCs w:val="false"/>
          <w:color w:val="2D2D2D"/>
          <w:sz w:val="21"/>
          <w:szCs w:val="21"/>
        </w:rPr>
        <w:t xml:space="preserve">Vendor manages infrastructure, hosting, security, and uptime (SaaS)</w:t>
      </w:r>
    </w:p>
    <w:p>
      <w:pPr>
        <w:pStyle w:val="ListParagraph"/>
        <w:numPr>
          <w:ilvl w:val="0"/>
          <w:numId w:val="2"/>
        </w:numPr>
        <w:spacing w:after="50" w:before="50"/>
      </w:pPr>
      <w:r>
        <w:rPr>
          <w:rFonts w:ascii="Arial" w:cs="Arial" w:eastAsia="Arial" w:hAnsi="Arial"/>
          <w:b w:val="false"/>
          <w:bCs w:val="false"/>
          <w:i w:val="false"/>
          <w:iCs w:val="false"/>
          <w:color w:val="2D2D2D"/>
          <w:sz w:val="21"/>
          <w:szCs w:val="21"/>
        </w:rPr>
        <w:t xml:space="preserve">Scales easily — add or remove users/capacity as business needs change</w:t>
      </w:r>
    </w:p>
    <w:p>
      <w:pPr>
        <w:pStyle w:val="ListParagraph"/>
        <w:numPr>
          <w:ilvl w:val="0"/>
          <w:numId w:val="2"/>
        </w:numPr>
        <w:spacing w:after="50" w:before="50"/>
      </w:pPr>
      <w:r>
        <w:rPr>
          <w:rFonts w:ascii="Arial" w:cs="Arial" w:eastAsia="Arial" w:hAnsi="Arial"/>
          <w:b w:val="false"/>
          <w:bCs w:val="false"/>
          <w:i w:val="false"/>
          <w:iCs w:val="false"/>
          <w:color w:val="2D2D2D"/>
          <w:sz w:val="21"/>
          <w:szCs w:val="21"/>
        </w:rPr>
        <w:t xml:space="preserve">Cisco examples: Webex, Cisco Umbrella, Cisco SecureX, DNA Center cloud subscriptions</w:t>
      </w:r>
    </w:p>
    <w:p>
      <w:pPr>
        <w:spacing w:after="0" w:before="8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single" w:color="1F4E79" w:sz="3"/>
              <w:bottom w:val="single" w:color="1F4E79" w:sz="3"/>
              <w:right w:val="single" w:color="1F4E79" w:sz="3"/>
            </w:tcBorders>
            <w:shd w:fill="1F4E79" w:val="clear"/>
            <w:tcMar>
              <w:top w:type="dxa" w:w="80"/>
              <w:left w:type="dxa" w:w="180"/>
              <w:bottom w:type="dxa" w:w="80"/>
              <w:right w:type="dxa" w:w="180"/>
            </w:tcMar>
          </w:tcPr>
          <w:p>
            <w:pPr>
              <w:spacing w:after="80" w:before="80"/>
              <w:jc w:val="left"/>
            </w:pPr>
            <w:r>
              <w:rPr>
                <w:rFonts w:ascii="Arial" w:cs="Arial" w:eastAsia="Arial" w:hAnsi="Arial"/>
                <w:b/>
                <w:bCs/>
                <w:i w:val="false"/>
                <w:iCs w:val="false"/>
                <w:color w:val="FFFFFF"/>
                <w:sz w:val="20"/>
                <w:szCs w:val="20"/>
              </w:rPr>
              <w:t xml:space="preserve">EXAM TIP — Subscription Model</w:t>
            </w:r>
          </w:p>
        </w:tc>
      </w:tr>
      <w:tr>
        <w:tc>
          <w:tcPr>
            <w:tcW w:type="dxa" w:w="9360"/>
            <w:tcBorders>
              <w:top w:val="single" w:color="1F4E79" w:sz="3"/>
              <w:left w:val="single" w:color="1F4E79" w:sz="3"/>
              <w:bottom w:val="single" w:color="1F4E79" w:sz="3"/>
              <w:right w:val="single" w:color="1F4E79" w:sz="3"/>
            </w:tcBorders>
            <w:shd w:fill="D5F5E3" w:val="clear"/>
            <w:tcMar>
              <w:top w:type="dxa" w:w="120"/>
              <w:left w:type="dxa" w:w="200"/>
              <w:bottom w:type="dxa" w:w="120"/>
              <w:right w:type="dxa" w:w="200"/>
            </w:tcMar>
          </w:tcPr>
          <w:p>
            <w:pPr>
              <w:spacing w:after="80" w:before="80"/>
              <w:jc w:val="left"/>
            </w:pPr>
            <w:r>
              <w:rPr>
                <w:rFonts w:ascii="Arial" w:cs="Arial" w:eastAsia="Arial" w:hAnsi="Arial"/>
                <w:b w:val="false"/>
                <w:bCs w:val="false"/>
                <w:i w:val="false"/>
                <w:iCs w:val="false"/>
                <w:color w:val="1A5C2A"/>
                <w:sz w:val="21"/>
                <w:szCs w:val="21"/>
              </w:rPr>
              <w:t xml:space="preserve">EXAM TIP: In subscription models, the vendor's revenue depends entirely on the customer renewing. This is why Customer Success exists — the CSM's job is to ensure the customer gets enough value to justify renewal. Without adoption, there is no renewal.</w:t>
            </w:r>
          </w:p>
        </w:tc>
      </w:tr>
    </w:tbl>
    <w:p>
      <w:pPr>
        <w:spacing w:after="0" w:before="160"/>
        <w:jc w:val="left"/>
      </w:pPr>
      <w:r>
        <w:rPr>
          <w:rFonts w:ascii="Arial" w:cs="Arial" w:eastAsia="Arial" w:hAnsi="Arial"/>
          <w:b w:val="false"/>
          <w:bCs w:val="false"/>
          <w:i w:val="false"/>
          <w:iCs w:val="false"/>
          <w:color w:val="2D2D2D"/>
          <w:sz w:val="22"/>
          <w:szCs w:val="22"/>
        </w:rPr>
        <w:t xml:space="preserve"/>
      </w:r>
    </w:p>
    <w:p>
      <w:pPr>
        <w:pStyle w:val="Heading2"/>
        <w:spacing w:after="100" w:before="280"/>
        <w:jc w:val="left"/>
      </w:pPr>
      <w:r>
        <w:rPr>
          <w:rFonts w:ascii="Arial" w:cs="Arial" w:eastAsia="Arial" w:hAnsi="Arial"/>
          <w:b/>
          <w:bCs/>
          <w:i w:val="false"/>
          <w:iCs w:val="false"/>
          <w:color w:val="2E75B6"/>
          <w:sz w:val="27"/>
          <w:szCs w:val="27"/>
        </w:rPr>
        <w:t xml:space="preserve">1.3  Side-by-Side Comparison: Subscription vs. Perpetual</w:t>
      </w:r>
    </w:p>
    <w:p>
      <w:pPr>
        <w:spacing w:after="0" w:before="6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1F4E79" w:sz="3"/>
              <w:left w:val="single" w:color="1F4E79" w:sz="3"/>
              <w:bottom w:val="single" w:color="1F4E79" w:sz="3"/>
              <w:right w:val="single" w:color="1F4E79" w:sz="3"/>
            </w:tcBorders>
            <w:shd w:fill="1F4E79" w:val="clear"/>
            <w:tcMar>
              <w:top w:type="dxa" w:w="100"/>
              <w:left w:type="dxa" w:w="140"/>
              <w:bottom w:type="dxa" w:w="100"/>
              <w:right w:type="dxa" w:w="140"/>
            </w:tcMar>
          </w:tcPr>
          <w:p>
            <w:pPr>
              <w:spacing w:after="80" w:before="80"/>
              <w:jc w:val="center"/>
            </w:pPr>
            <w:r>
              <w:rPr>
                <w:rFonts w:ascii="Arial" w:cs="Arial" w:eastAsia="Arial" w:hAnsi="Arial"/>
                <w:b/>
                <w:bCs/>
                <w:i w:val="false"/>
                <w:iCs w:val="false"/>
                <w:color w:val="FFFFFF"/>
                <w:sz w:val="21"/>
                <w:szCs w:val="21"/>
              </w:rPr>
              <w:t xml:space="preserve">Dimension</w:t>
            </w:r>
          </w:p>
        </w:tc>
        <w:tc>
          <w:tcPr>
            <w:tcW w:type="dxa" w:w="3380"/>
            <w:tcBorders>
              <w:top w:val="single" w:color="1F4E79" w:sz="3"/>
              <w:left w:val="single" w:color="1F4E79" w:sz="3"/>
              <w:bottom w:val="single" w:color="1F4E79" w:sz="3"/>
              <w:right w:val="single" w:color="1F4E79" w:sz="3"/>
            </w:tcBorders>
            <w:shd w:fill="1A5276" w:val="clear"/>
            <w:tcMar>
              <w:top w:type="dxa" w:w="100"/>
              <w:left w:type="dxa" w:w="140"/>
              <w:bottom w:type="dxa" w:w="100"/>
              <w:right w:type="dxa" w:w="140"/>
            </w:tcMar>
          </w:tcPr>
          <w:p>
            <w:pPr>
              <w:spacing w:after="80" w:before="80"/>
              <w:jc w:val="center"/>
            </w:pPr>
            <w:r>
              <w:rPr>
                <w:rFonts w:ascii="Arial" w:cs="Arial" w:eastAsia="Arial" w:hAnsi="Arial"/>
                <w:b/>
                <w:bCs/>
                <w:i w:val="false"/>
                <w:iCs w:val="false"/>
                <w:color w:val="FFFFFF"/>
                <w:sz w:val="21"/>
                <w:szCs w:val="21"/>
              </w:rPr>
              <w:t xml:space="preserve">Perpetual License</w:t>
            </w:r>
          </w:p>
        </w:tc>
        <w:tc>
          <w:tcPr>
            <w:tcW w:type="dxa" w:w="3380"/>
            <w:tcBorders>
              <w:top w:val="single" w:color="1F4E79" w:sz="3"/>
              <w:left w:val="single" w:color="1F4E79" w:sz="3"/>
              <w:bottom w:val="single" w:color="1F4E79" w:sz="3"/>
              <w:right w:val="single" w:color="1F4E79" w:sz="3"/>
            </w:tcBorders>
            <w:shd w:fill="1A7040" w:val="clear"/>
            <w:tcMar>
              <w:top w:type="dxa" w:w="100"/>
              <w:left w:type="dxa" w:w="140"/>
              <w:bottom w:type="dxa" w:w="100"/>
              <w:right w:type="dxa" w:w="140"/>
            </w:tcMar>
          </w:tcPr>
          <w:p>
            <w:pPr>
              <w:spacing w:after="80" w:before="80"/>
              <w:jc w:val="center"/>
            </w:pPr>
            <w:r>
              <w:rPr>
                <w:rFonts w:ascii="Arial" w:cs="Arial" w:eastAsia="Arial" w:hAnsi="Arial"/>
                <w:b/>
                <w:bCs/>
                <w:i w:val="false"/>
                <w:iCs w:val="false"/>
                <w:color w:val="FFFFFF"/>
                <w:sz w:val="21"/>
                <w:szCs w:val="21"/>
              </w:rPr>
              <w:t xml:space="preserve">Subscription License</w:t>
            </w:r>
          </w:p>
        </w:tc>
      </w:tr>
      <w:tr>
        <w:tc>
          <w:tcPr>
            <w:tcW w:type="dxa" w:w="26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tcPr>
          <w:p>
            <w:pPr>
              <w:spacing w:after="80" w:before="80"/>
              <w:jc w:val="left"/>
            </w:pPr>
            <w:r>
              <w:rPr>
                <w:rFonts w:ascii="Arial" w:cs="Arial" w:eastAsia="Arial" w:hAnsi="Arial"/>
                <w:b/>
                <w:bCs/>
                <w:i w:val="false"/>
                <w:iCs w:val="false"/>
                <w:color w:val="1F4E79"/>
                <w:sz w:val="20"/>
                <w:szCs w:val="20"/>
              </w:rPr>
              <w:t xml:space="preserve">Payment Structure</w:t>
            </w:r>
          </w:p>
        </w:tc>
        <w:tc>
          <w:tcPr>
            <w:tcW w:type="dxa" w:w="3380"/>
            <w:tcBorders>
              <w:top w:val="single" w:color="CCCCCC" w:sz="1"/>
              <w:left w:val="single" w:color="CCCCCC" w:sz="1"/>
              <w:bottom w:val="single" w:color="CCCCCC" w:sz="1"/>
              <w:right w:val="single" w:color="CCCCCC" w:sz="1"/>
            </w:tcBorders>
            <w:shd w:fill="FDFEFE" w:val="clear"/>
            <w:tcMar>
              <w:top w:type="dxa" w:w="90"/>
              <w:left w:type="dxa" w:w="140"/>
              <w:bottom w:type="dxa" w:w="90"/>
              <w:right w:type="dxa" w:w="140"/>
            </w:tcMar>
          </w:tcPr>
          <w:p>
            <w:pPr>
              <w:spacing w:after="80" w:before="80"/>
              <w:jc w:val="left"/>
            </w:pPr>
            <w:r>
              <w:rPr>
                <w:rFonts w:ascii="Arial" w:cs="Arial" w:eastAsia="Arial" w:hAnsi="Arial"/>
                <w:b w:val="false"/>
                <w:bCs w:val="false"/>
                <w:i w:val="false"/>
                <w:iCs w:val="false"/>
                <w:color w:val="2D2D2D"/>
                <w:sz w:val="20"/>
                <w:szCs w:val="20"/>
              </w:rPr>
              <w:t xml:space="preserve">Large one-time upfront fee</w:t>
            </w:r>
          </w:p>
        </w:tc>
        <w:tc>
          <w:tcPr>
            <w:tcW w:type="dxa" w:w="3380"/>
            <w:tcBorders>
              <w:top w:val="single" w:color="CCCCCC" w:sz="1"/>
              <w:left w:val="single" w:color="CCCCCC" w:sz="1"/>
              <w:bottom w:val="single" w:color="CCCCCC" w:sz="1"/>
              <w:right w:val="single" w:color="CCCCCC" w:sz="1"/>
            </w:tcBorders>
            <w:shd w:fill="F0FFF4" w:val="clear"/>
            <w:tcMar>
              <w:top w:type="dxa" w:w="90"/>
              <w:left w:type="dxa" w:w="140"/>
              <w:bottom w:type="dxa" w:w="90"/>
              <w:right w:type="dxa" w:w="140"/>
            </w:tcMar>
          </w:tcPr>
          <w:p>
            <w:pPr>
              <w:spacing w:after="80" w:before="80"/>
              <w:jc w:val="left"/>
            </w:pPr>
            <w:r>
              <w:rPr>
                <w:rFonts w:ascii="Arial" w:cs="Arial" w:eastAsia="Arial" w:hAnsi="Arial"/>
                <w:b w:val="false"/>
                <w:bCs w:val="false"/>
                <w:i w:val="false"/>
                <w:iCs w:val="false"/>
                <w:color w:val="2D2D2D"/>
                <w:sz w:val="20"/>
                <w:szCs w:val="20"/>
              </w:rPr>
              <w:t xml:space="preserve">Recurring monthly or annual fee</w:t>
            </w:r>
          </w:p>
        </w:tc>
      </w:tr>
      <w:tr>
        <w:tc>
          <w:tcPr>
            <w:tcW w:type="dxa" w:w="2600"/>
            <w:tcBorders>
              <w:top w:val="single" w:color="CCCCCC" w:sz="1"/>
              <w:left w:val="single" w:color="CCCCCC" w:sz="1"/>
              <w:bottom w:val="single" w:color="CCCCCC" w:sz="1"/>
              <w:right w:val="single" w:color="CCCCCC" w:sz="1"/>
            </w:tcBorders>
            <w:shd w:fill="F8FBFF" w:val="clear"/>
            <w:tcMar>
              <w:top w:type="dxa" w:w="90"/>
              <w:left w:type="dxa" w:w="140"/>
              <w:bottom w:type="dxa" w:w="90"/>
              <w:right w:type="dxa" w:w="140"/>
            </w:tcMar>
          </w:tcPr>
          <w:p>
            <w:pPr>
              <w:spacing w:after="80" w:before="80"/>
              <w:jc w:val="left"/>
            </w:pPr>
            <w:r>
              <w:rPr>
                <w:rFonts w:ascii="Arial" w:cs="Arial" w:eastAsia="Arial" w:hAnsi="Arial"/>
                <w:b/>
                <w:bCs/>
                <w:i w:val="false"/>
                <w:iCs w:val="false"/>
                <w:color w:val="1F4E79"/>
                <w:sz w:val="20"/>
                <w:szCs w:val="20"/>
              </w:rPr>
              <w:t xml:space="preserve">Ownership</w:t>
            </w:r>
          </w:p>
        </w:tc>
        <w:tc>
          <w:tcPr>
            <w:tcW w:type="dxa" w:w="33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80" w:before="80"/>
              <w:jc w:val="left"/>
            </w:pPr>
            <w:r>
              <w:rPr>
                <w:rFonts w:ascii="Arial" w:cs="Arial" w:eastAsia="Arial" w:hAnsi="Arial"/>
                <w:b w:val="false"/>
                <w:bCs w:val="false"/>
                <w:i w:val="false"/>
                <w:iCs w:val="false"/>
                <w:color w:val="2D2D2D"/>
                <w:sz w:val="20"/>
                <w:szCs w:val="20"/>
              </w:rPr>
              <w:t xml:space="preserve">Customer owns that version forever</w:t>
            </w:r>
          </w:p>
        </w:tc>
        <w:tc>
          <w:tcPr>
            <w:tcW w:type="dxa" w:w="3380"/>
            <w:tcBorders>
              <w:top w:val="single" w:color="CCCCCC" w:sz="1"/>
              <w:left w:val="single" w:color="CCCCCC" w:sz="1"/>
              <w:bottom w:val="single" w:color="CCCCCC" w:sz="1"/>
              <w:right w:val="single" w:color="CCCCCC" w:sz="1"/>
            </w:tcBorders>
            <w:shd w:fill="F9FFF9" w:val="clear"/>
            <w:tcMar>
              <w:top w:type="dxa" w:w="90"/>
              <w:left w:type="dxa" w:w="140"/>
              <w:bottom w:type="dxa" w:w="90"/>
              <w:right w:type="dxa" w:w="140"/>
            </w:tcMar>
          </w:tcPr>
          <w:p>
            <w:pPr>
              <w:spacing w:after="80" w:before="80"/>
              <w:jc w:val="left"/>
            </w:pPr>
            <w:r>
              <w:rPr>
                <w:rFonts w:ascii="Arial" w:cs="Arial" w:eastAsia="Arial" w:hAnsi="Arial"/>
                <w:b w:val="false"/>
                <w:bCs w:val="false"/>
                <w:i w:val="false"/>
                <w:iCs w:val="false"/>
                <w:color w:val="2D2D2D"/>
                <w:sz w:val="20"/>
                <w:szCs w:val="20"/>
              </w:rPr>
              <w:t xml:space="preserve">Customer rents access — must renew</w:t>
            </w:r>
          </w:p>
        </w:tc>
      </w:tr>
      <w:tr>
        <w:tc>
          <w:tcPr>
            <w:tcW w:type="dxa" w:w="26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tcPr>
          <w:p>
            <w:pPr>
              <w:spacing w:after="80" w:before="80"/>
              <w:jc w:val="left"/>
            </w:pPr>
            <w:r>
              <w:rPr>
                <w:rFonts w:ascii="Arial" w:cs="Arial" w:eastAsia="Arial" w:hAnsi="Arial"/>
                <w:b/>
                <w:bCs/>
                <w:i w:val="false"/>
                <w:iCs w:val="false"/>
                <w:color w:val="1F4E79"/>
                <w:sz w:val="20"/>
                <w:szCs w:val="20"/>
              </w:rPr>
              <w:t xml:space="preserve">Revenue for Vendor</w:t>
            </w:r>
          </w:p>
        </w:tc>
        <w:tc>
          <w:tcPr>
            <w:tcW w:type="dxa" w:w="3380"/>
            <w:tcBorders>
              <w:top w:val="single" w:color="CCCCCC" w:sz="1"/>
              <w:left w:val="single" w:color="CCCCCC" w:sz="1"/>
              <w:bottom w:val="single" w:color="CCCCCC" w:sz="1"/>
              <w:right w:val="single" w:color="CCCCCC" w:sz="1"/>
            </w:tcBorders>
            <w:shd w:fill="FDFEFE" w:val="clear"/>
            <w:tcMar>
              <w:top w:type="dxa" w:w="90"/>
              <w:left w:type="dxa" w:w="140"/>
              <w:bottom w:type="dxa" w:w="90"/>
              <w:right w:type="dxa" w:w="140"/>
            </w:tcMar>
          </w:tcPr>
          <w:p>
            <w:pPr>
              <w:spacing w:after="80" w:before="80"/>
              <w:jc w:val="left"/>
            </w:pPr>
            <w:r>
              <w:rPr>
                <w:rFonts w:ascii="Arial" w:cs="Arial" w:eastAsia="Arial" w:hAnsi="Arial"/>
                <w:b w:val="false"/>
                <w:bCs w:val="false"/>
                <w:i w:val="false"/>
                <w:iCs w:val="false"/>
                <w:color w:val="2D2D2D"/>
                <w:sz w:val="20"/>
                <w:szCs w:val="20"/>
              </w:rPr>
              <w:t xml:space="preserve">Front-loaded — recognized at sale</w:t>
            </w:r>
          </w:p>
        </w:tc>
        <w:tc>
          <w:tcPr>
            <w:tcW w:type="dxa" w:w="3380"/>
            <w:tcBorders>
              <w:top w:val="single" w:color="CCCCCC" w:sz="1"/>
              <w:left w:val="single" w:color="CCCCCC" w:sz="1"/>
              <w:bottom w:val="single" w:color="CCCCCC" w:sz="1"/>
              <w:right w:val="single" w:color="CCCCCC" w:sz="1"/>
            </w:tcBorders>
            <w:shd w:fill="F0FFF4" w:val="clear"/>
            <w:tcMar>
              <w:top w:type="dxa" w:w="90"/>
              <w:left w:type="dxa" w:w="140"/>
              <w:bottom w:type="dxa" w:w="90"/>
              <w:right w:type="dxa" w:w="140"/>
            </w:tcMar>
          </w:tcPr>
          <w:p>
            <w:pPr>
              <w:spacing w:after="80" w:before="80"/>
              <w:jc w:val="left"/>
            </w:pPr>
            <w:r>
              <w:rPr>
                <w:rFonts w:ascii="Arial" w:cs="Arial" w:eastAsia="Arial" w:hAnsi="Arial"/>
                <w:b w:val="false"/>
                <w:bCs w:val="false"/>
                <w:i w:val="false"/>
                <w:iCs w:val="false"/>
                <w:color w:val="2D2D2D"/>
                <w:sz w:val="20"/>
                <w:szCs w:val="20"/>
              </w:rPr>
              <w:t xml:space="preserve">Spread over contract term (ARR/MRR)</w:t>
            </w:r>
          </w:p>
        </w:tc>
      </w:tr>
      <w:tr>
        <w:tc>
          <w:tcPr>
            <w:tcW w:type="dxa" w:w="2600"/>
            <w:tcBorders>
              <w:top w:val="single" w:color="CCCCCC" w:sz="1"/>
              <w:left w:val="single" w:color="CCCCCC" w:sz="1"/>
              <w:bottom w:val="single" w:color="CCCCCC" w:sz="1"/>
              <w:right w:val="single" w:color="CCCCCC" w:sz="1"/>
            </w:tcBorders>
            <w:shd w:fill="F8FBFF" w:val="clear"/>
            <w:tcMar>
              <w:top w:type="dxa" w:w="90"/>
              <w:left w:type="dxa" w:w="140"/>
              <w:bottom w:type="dxa" w:w="90"/>
              <w:right w:type="dxa" w:w="140"/>
            </w:tcMar>
          </w:tcPr>
          <w:p>
            <w:pPr>
              <w:spacing w:after="80" w:before="80"/>
              <w:jc w:val="left"/>
            </w:pPr>
            <w:r>
              <w:rPr>
                <w:rFonts w:ascii="Arial" w:cs="Arial" w:eastAsia="Arial" w:hAnsi="Arial"/>
                <w:b/>
                <w:bCs/>
                <w:i w:val="false"/>
                <w:iCs w:val="false"/>
                <w:color w:val="1F4E79"/>
                <w:sz w:val="20"/>
                <w:szCs w:val="20"/>
              </w:rPr>
              <w:t xml:space="preserve">Updates &amp; Features</w:t>
            </w:r>
          </w:p>
        </w:tc>
        <w:tc>
          <w:tcPr>
            <w:tcW w:type="dxa" w:w="33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80" w:before="80"/>
              <w:jc w:val="left"/>
            </w:pPr>
            <w:r>
              <w:rPr>
                <w:rFonts w:ascii="Arial" w:cs="Arial" w:eastAsia="Arial" w:hAnsi="Arial"/>
                <w:b w:val="false"/>
                <w:bCs w:val="false"/>
                <w:i w:val="false"/>
                <w:iCs w:val="false"/>
                <w:color w:val="2D2D2D"/>
                <w:sz w:val="20"/>
                <w:szCs w:val="20"/>
              </w:rPr>
              <w:t xml:space="preserve">Separate purchase or upgrade fee</w:t>
            </w:r>
          </w:p>
        </w:tc>
        <w:tc>
          <w:tcPr>
            <w:tcW w:type="dxa" w:w="3380"/>
            <w:tcBorders>
              <w:top w:val="single" w:color="CCCCCC" w:sz="1"/>
              <w:left w:val="single" w:color="CCCCCC" w:sz="1"/>
              <w:bottom w:val="single" w:color="CCCCCC" w:sz="1"/>
              <w:right w:val="single" w:color="CCCCCC" w:sz="1"/>
            </w:tcBorders>
            <w:shd w:fill="F9FFF9" w:val="clear"/>
            <w:tcMar>
              <w:top w:type="dxa" w:w="90"/>
              <w:left w:type="dxa" w:w="140"/>
              <w:bottom w:type="dxa" w:w="90"/>
              <w:right w:type="dxa" w:w="140"/>
            </w:tcMar>
          </w:tcPr>
          <w:p>
            <w:pPr>
              <w:spacing w:after="80" w:before="80"/>
              <w:jc w:val="left"/>
            </w:pPr>
            <w:r>
              <w:rPr>
                <w:rFonts w:ascii="Arial" w:cs="Arial" w:eastAsia="Arial" w:hAnsi="Arial"/>
                <w:b w:val="false"/>
                <w:bCs w:val="false"/>
                <w:i w:val="false"/>
                <w:iCs w:val="false"/>
                <w:color w:val="2D2D2D"/>
                <w:sz w:val="20"/>
                <w:szCs w:val="20"/>
              </w:rPr>
              <w:t xml:space="preserve">Included in subscription fee</w:t>
            </w:r>
          </w:p>
        </w:tc>
      </w:tr>
      <w:tr>
        <w:tc>
          <w:tcPr>
            <w:tcW w:type="dxa" w:w="26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tcPr>
          <w:p>
            <w:pPr>
              <w:spacing w:after="80" w:before="80"/>
              <w:jc w:val="left"/>
            </w:pPr>
            <w:r>
              <w:rPr>
                <w:rFonts w:ascii="Arial" w:cs="Arial" w:eastAsia="Arial" w:hAnsi="Arial"/>
                <w:b/>
                <w:bCs/>
                <w:i w:val="false"/>
                <w:iCs w:val="false"/>
                <w:color w:val="1F4E79"/>
                <w:sz w:val="20"/>
                <w:szCs w:val="20"/>
              </w:rPr>
              <w:t xml:space="preserve">Infrastructure</w:t>
            </w:r>
          </w:p>
        </w:tc>
        <w:tc>
          <w:tcPr>
            <w:tcW w:type="dxa" w:w="3380"/>
            <w:tcBorders>
              <w:top w:val="single" w:color="CCCCCC" w:sz="1"/>
              <w:left w:val="single" w:color="CCCCCC" w:sz="1"/>
              <w:bottom w:val="single" w:color="CCCCCC" w:sz="1"/>
              <w:right w:val="single" w:color="CCCCCC" w:sz="1"/>
            </w:tcBorders>
            <w:shd w:fill="FDFEFE" w:val="clear"/>
            <w:tcMar>
              <w:top w:type="dxa" w:w="90"/>
              <w:left w:type="dxa" w:w="140"/>
              <w:bottom w:type="dxa" w:w="90"/>
              <w:right w:type="dxa" w:w="140"/>
            </w:tcMar>
          </w:tcPr>
          <w:p>
            <w:pPr>
              <w:spacing w:after="80" w:before="80"/>
              <w:jc w:val="left"/>
            </w:pPr>
            <w:r>
              <w:rPr>
                <w:rFonts w:ascii="Arial" w:cs="Arial" w:eastAsia="Arial" w:hAnsi="Arial"/>
                <w:b w:val="false"/>
                <w:bCs w:val="false"/>
                <w:i w:val="false"/>
                <w:iCs w:val="false"/>
                <w:color w:val="2D2D2D"/>
                <w:sz w:val="20"/>
                <w:szCs w:val="20"/>
              </w:rPr>
              <w:t xml:space="preserve">Customer manages on-premises</w:t>
            </w:r>
          </w:p>
        </w:tc>
        <w:tc>
          <w:tcPr>
            <w:tcW w:type="dxa" w:w="3380"/>
            <w:tcBorders>
              <w:top w:val="single" w:color="CCCCCC" w:sz="1"/>
              <w:left w:val="single" w:color="CCCCCC" w:sz="1"/>
              <w:bottom w:val="single" w:color="CCCCCC" w:sz="1"/>
              <w:right w:val="single" w:color="CCCCCC" w:sz="1"/>
            </w:tcBorders>
            <w:shd w:fill="F0FFF4" w:val="clear"/>
            <w:tcMar>
              <w:top w:type="dxa" w:w="90"/>
              <w:left w:type="dxa" w:w="140"/>
              <w:bottom w:type="dxa" w:w="90"/>
              <w:right w:type="dxa" w:w="140"/>
            </w:tcMar>
          </w:tcPr>
          <w:p>
            <w:pPr>
              <w:spacing w:after="80" w:before="80"/>
              <w:jc w:val="left"/>
            </w:pPr>
            <w:r>
              <w:rPr>
                <w:rFonts w:ascii="Arial" w:cs="Arial" w:eastAsia="Arial" w:hAnsi="Arial"/>
                <w:b w:val="false"/>
                <w:bCs w:val="false"/>
                <w:i w:val="false"/>
                <w:iCs w:val="false"/>
                <w:color w:val="2D2D2D"/>
                <w:sz w:val="20"/>
                <w:szCs w:val="20"/>
              </w:rPr>
              <w:t xml:space="preserve">Vendor manages (SaaS/cloud)</w:t>
            </w:r>
          </w:p>
        </w:tc>
      </w:tr>
      <w:tr>
        <w:tc>
          <w:tcPr>
            <w:tcW w:type="dxa" w:w="2600"/>
            <w:tcBorders>
              <w:top w:val="single" w:color="CCCCCC" w:sz="1"/>
              <w:left w:val="single" w:color="CCCCCC" w:sz="1"/>
              <w:bottom w:val="single" w:color="CCCCCC" w:sz="1"/>
              <w:right w:val="single" w:color="CCCCCC" w:sz="1"/>
            </w:tcBorders>
            <w:shd w:fill="F8FBFF" w:val="clear"/>
            <w:tcMar>
              <w:top w:type="dxa" w:w="90"/>
              <w:left w:type="dxa" w:w="140"/>
              <w:bottom w:type="dxa" w:w="90"/>
              <w:right w:type="dxa" w:w="140"/>
            </w:tcMar>
          </w:tcPr>
          <w:p>
            <w:pPr>
              <w:spacing w:after="80" w:before="80"/>
              <w:jc w:val="left"/>
            </w:pPr>
            <w:r>
              <w:rPr>
                <w:rFonts w:ascii="Arial" w:cs="Arial" w:eastAsia="Arial" w:hAnsi="Arial"/>
                <w:b/>
                <w:bCs/>
                <w:i w:val="false"/>
                <w:iCs w:val="false"/>
                <w:color w:val="1F4E79"/>
                <w:sz w:val="20"/>
                <w:szCs w:val="20"/>
              </w:rPr>
              <w:t xml:space="preserve">Scalability</w:t>
            </w:r>
          </w:p>
        </w:tc>
        <w:tc>
          <w:tcPr>
            <w:tcW w:type="dxa" w:w="33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80" w:before="80"/>
              <w:jc w:val="left"/>
            </w:pPr>
            <w:r>
              <w:rPr>
                <w:rFonts w:ascii="Arial" w:cs="Arial" w:eastAsia="Arial" w:hAnsi="Arial"/>
                <w:b w:val="false"/>
                <w:bCs w:val="false"/>
                <w:i w:val="false"/>
                <w:iCs w:val="false"/>
                <w:color w:val="2D2D2D"/>
                <w:sz w:val="20"/>
                <w:szCs w:val="20"/>
              </w:rPr>
              <w:t xml:space="preserve">License-bound — must purchase more</w:t>
            </w:r>
          </w:p>
        </w:tc>
        <w:tc>
          <w:tcPr>
            <w:tcW w:type="dxa" w:w="3380"/>
            <w:tcBorders>
              <w:top w:val="single" w:color="CCCCCC" w:sz="1"/>
              <w:left w:val="single" w:color="CCCCCC" w:sz="1"/>
              <w:bottom w:val="single" w:color="CCCCCC" w:sz="1"/>
              <w:right w:val="single" w:color="CCCCCC" w:sz="1"/>
            </w:tcBorders>
            <w:shd w:fill="F9FFF9" w:val="clear"/>
            <w:tcMar>
              <w:top w:type="dxa" w:w="90"/>
              <w:left w:type="dxa" w:w="140"/>
              <w:bottom w:type="dxa" w:w="90"/>
              <w:right w:type="dxa" w:w="140"/>
            </w:tcMar>
          </w:tcPr>
          <w:p>
            <w:pPr>
              <w:spacing w:after="80" w:before="80"/>
              <w:jc w:val="left"/>
            </w:pPr>
            <w:r>
              <w:rPr>
                <w:rFonts w:ascii="Arial" w:cs="Arial" w:eastAsia="Arial" w:hAnsi="Arial"/>
                <w:b w:val="false"/>
                <w:bCs w:val="false"/>
                <w:i w:val="false"/>
                <w:iCs w:val="false"/>
                <w:color w:val="2D2D2D"/>
                <w:sz w:val="20"/>
                <w:szCs w:val="20"/>
              </w:rPr>
              <w:t xml:space="preserve">Easily add/remove users or modules</w:t>
            </w:r>
          </w:p>
        </w:tc>
      </w:tr>
      <w:tr>
        <w:tc>
          <w:tcPr>
            <w:tcW w:type="dxa" w:w="26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tcPr>
          <w:p>
            <w:pPr>
              <w:spacing w:after="80" w:before="80"/>
              <w:jc w:val="left"/>
            </w:pPr>
            <w:r>
              <w:rPr>
                <w:rFonts w:ascii="Arial" w:cs="Arial" w:eastAsia="Arial" w:hAnsi="Arial"/>
                <w:b/>
                <w:bCs/>
                <w:i w:val="false"/>
                <w:iCs w:val="false"/>
                <w:color w:val="1F4E79"/>
                <w:sz w:val="20"/>
                <w:szCs w:val="20"/>
              </w:rPr>
              <w:t xml:space="preserve">Customer Risk</w:t>
            </w:r>
          </w:p>
        </w:tc>
        <w:tc>
          <w:tcPr>
            <w:tcW w:type="dxa" w:w="3380"/>
            <w:tcBorders>
              <w:top w:val="single" w:color="CCCCCC" w:sz="1"/>
              <w:left w:val="single" w:color="CCCCCC" w:sz="1"/>
              <w:bottom w:val="single" w:color="CCCCCC" w:sz="1"/>
              <w:right w:val="single" w:color="CCCCCC" w:sz="1"/>
            </w:tcBorders>
            <w:shd w:fill="FDFEFE" w:val="clear"/>
            <w:tcMar>
              <w:top w:type="dxa" w:w="90"/>
              <w:left w:type="dxa" w:w="140"/>
              <w:bottom w:type="dxa" w:w="90"/>
              <w:right w:type="dxa" w:w="140"/>
            </w:tcMar>
          </w:tcPr>
          <w:p>
            <w:pPr>
              <w:spacing w:after="80" w:before="80"/>
              <w:jc w:val="left"/>
            </w:pPr>
            <w:r>
              <w:rPr>
                <w:rFonts w:ascii="Arial" w:cs="Arial" w:eastAsia="Arial" w:hAnsi="Arial"/>
                <w:b w:val="false"/>
                <w:bCs w:val="false"/>
                <w:i w:val="false"/>
                <w:iCs w:val="false"/>
                <w:color w:val="2D2D2D"/>
                <w:sz w:val="20"/>
                <w:szCs w:val="20"/>
              </w:rPr>
              <w:t xml:space="preserve">High upfront investment risk</w:t>
            </w:r>
          </w:p>
        </w:tc>
        <w:tc>
          <w:tcPr>
            <w:tcW w:type="dxa" w:w="3380"/>
            <w:tcBorders>
              <w:top w:val="single" w:color="CCCCCC" w:sz="1"/>
              <w:left w:val="single" w:color="CCCCCC" w:sz="1"/>
              <w:bottom w:val="single" w:color="CCCCCC" w:sz="1"/>
              <w:right w:val="single" w:color="CCCCCC" w:sz="1"/>
            </w:tcBorders>
            <w:shd w:fill="F0FFF4" w:val="clear"/>
            <w:tcMar>
              <w:top w:type="dxa" w:w="90"/>
              <w:left w:type="dxa" w:w="140"/>
              <w:bottom w:type="dxa" w:w="90"/>
              <w:right w:type="dxa" w:w="140"/>
            </w:tcMar>
          </w:tcPr>
          <w:p>
            <w:pPr>
              <w:spacing w:after="80" w:before="80"/>
              <w:jc w:val="left"/>
            </w:pPr>
            <w:r>
              <w:rPr>
                <w:rFonts w:ascii="Arial" w:cs="Arial" w:eastAsia="Arial" w:hAnsi="Arial"/>
                <w:b w:val="false"/>
                <w:bCs w:val="false"/>
                <w:i w:val="false"/>
                <w:iCs w:val="false"/>
                <w:color w:val="2D2D2D"/>
                <w:sz w:val="20"/>
                <w:szCs w:val="20"/>
              </w:rPr>
              <w:t xml:space="preserve">Lower upfront, risk is non-renewal</w:t>
            </w:r>
          </w:p>
        </w:tc>
      </w:tr>
      <w:tr>
        <w:tc>
          <w:tcPr>
            <w:tcW w:type="dxa" w:w="2600"/>
            <w:tcBorders>
              <w:top w:val="single" w:color="CCCCCC" w:sz="1"/>
              <w:left w:val="single" w:color="CCCCCC" w:sz="1"/>
              <w:bottom w:val="single" w:color="CCCCCC" w:sz="1"/>
              <w:right w:val="single" w:color="CCCCCC" w:sz="1"/>
            </w:tcBorders>
            <w:shd w:fill="F8FBFF" w:val="clear"/>
            <w:tcMar>
              <w:top w:type="dxa" w:w="90"/>
              <w:left w:type="dxa" w:w="140"/>
              <w:bottom w:type="dxa" w:w="90"/>
              <w:right w:type="dxa" w:w="140"/>
            </w:tcMar>
          </w:tcPr>
          <w:p>
            <w:pPr>
              <w:spacing w:after="80" w:before="80"/>
              <w:jc w:val="left"/>
            </w:pPr>
            <w:r>
              <w:rPr>
                <w:rFonts w:ascii="Arial" w:cs="Arial" w:eastAsia="Arial" w:hAnsi="Arial"/>
                <w:b/>
                <w:bCs/>
                <w:i w:val="false"/>
                <w:iCs w:val="false"/>
                <w:color w:val="1F4E79"/>
                <w:sz w:val="20"/>
                <w:szCs w:val="20"/>
              </w:rPr>
              <w:t xml:space="preserve">Vendor Risk</w:t>
            </w:r>
          </w:p>
        </w:tc>
        <w:tc>
          <w:tcPr>
            <w:tcW w:type="dxa" w:w="33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80" w:before="80"/>
              <w:jc w:val="left"/>
            </w:pPr>
            <w:r>
              <w:rPr>
                <w:rFonts w:ascii="Arial" w:cs="Arial" w:eastAsia="Arial" w:hAnsi="Arial"/>
                <w:b w:val="false"/>
                <w:bCs w:val="false"/>
                <w:i w:val="false"/>
                <w:iCs w:val="false"/>
                <w:color w:val="2D2D2D"/>
                <w:sz w:val="20"/>
                <w:szCs w:val="20"/>
              </w:rPr>
              <w:t xml:space="preserve">One-time sale — hard to grow account</w:t>
            </w:r>
          </w:p>
        </w:tc>
        <w:tc>
          <w:tcPr>
            <w:tcW w:type="dxa" w:w="3380"/>
            <w:tcBorders>
              <w:top w:val="single" w:color="CCCCCC" w:sz="1"/>
              <w:left w:val="single" w:color="CCCCCC" w:sz="1"/>
              <w:bottom w:val="single" w:color="CCCCCC" w:sz="1"/>
              <w:right w:val="single" w:color="CCCCCC" w:sz="1"/>
            </w:tcBorders>
            <w:shd w:fill="F9FFF9" w:val="clear"/>
            <w:tcMar>
              <w:top w:type="dxa" w:w="90"/>
              <w:left w:type="dxa" w:w="140"/>
              <w:bottom w:type="dxa" w:w="90"/>
              <w:right w:type="dxa" w:w="140"/>
            </w:tcMar>
          </w:tcPr>
          <w:p>
            <w:pPr>
              <w:spacing w:after="80" w:before="80"/>
              <w:jc w:val="left"/>
            </w:pPr>
            <w:r>
              <w:rPr>
                <w:rFonts w:ascii="Arial" w:cs="Arial" w:eastAsia="Arial" w:hAnsi="Arial"/>
                <w:b w:val="false"/>
                <w:bCs w:val="false"/>
                <w:i w:val="false"/>
                <w:iCs w:val="false"/>
                <w:color w:val="2D2D2D"/>
                <w:sz w:val="20"/>
                <w:szCs w:val="20"/>
              </w:rPr>
              <w:t xml:space="preserve">Churn risk — must deliver value ongoing</w:t>
            </w:r>
          </w:p>
        </w:tc>
      </w:tr>
      <w:tr>
        <w:tc>
          <w:tcPr>
            <w:tcW w:type="dxa" w:w="26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tcPr>
          <w:p>
            <w:pPr>
              <w:spacing w:after="80" w:before="80"/>
              <w:jc w:val="left"/>
            </w:pPr>
            <w:r>
              <w:rPr>
                <w:rFonts w:ascii="Arial" w:cs="Arial" w:eastAsia="Arial" w:hAnsi="Arial"/>
                <w:b/>
                <w:bCs/>
                <w:i w:val="false"/>
                <w:iCs w:val="false"/>
                <w:color w:val="1F4E79"/>
                <w:sz w:val="20"/>
                <w:szCs w:val="20"/>
              </w:rPr>
              <w:t xml:space="preserve">CSM Relevance</w:t>
            </w:r>
          </w:p>
        </w:tc>
        <w:tc>
          <w:tcPr>
            <w:tcW w:type="dxa" w:w="3380"/>
            <w:tcBorders>
              <w:top w:val="single" w:color="CCCCCC" w:sz="1"/>
              <w:left w:val="single" w:color="CCCCCC" w:sz="1"/>
              <w:bottom w:val="single" w:color="CCCCCC" w:sz="1"/>
              <w:right w:val="single" w:color="CCCCCC" w:sz="1"/>
            </w:tcBorders>
            <w:shd w:fill="FDFEFE" w:val="clear"/>
            <w:tcMar>
              <w:top w:type="dxa" w:w="90"/>
              <w:left w:type="dxa" w:w="140"/>
              <w:bottom w:type="dxa" w:w="90"/>
              <w:right w:type="dxa" w:w="140"/>
            </w:tcMar>
          </w:tcPr>
          <w:p>
            <w:pPr>
              <w:spacing w:after="80" w:before="80"/>
              <w:jc w:val="left"/>
            </w:pPr>
            <w:r>
              <w:rPr>
                <w:rFonts w:ascii="Arial" w:cs="Arial" w:eastAsia="Arial" w:hAnsi="Arial"/>
                <w:b w:val="false"/>
                <w:bCs w:val="false"/>
                <w:i w:val="false"/>
                <w:iCs w:val="false"/>
                <w:color w:val="2D2D2D"/>
                <w:sz w:val="20"/>
                <w:szCs w:val="20"/>
              </w:rPr>
              <w:t xml:space="preserve">Minimal — sale is complete</w:t>
            </w:r>
          </w:p>
        </w:tc>
        <w:tc>
          <w:tcPr>
            <w:tcW w:type="dxa" w:w="3380"/>
            <w:tcBorders>
              <w:top w:val="single" w:color="CCCCCC" w:sz="1"/>
              <w:left w:val="single" w:color="CCCCCC" w:sz="1"/>
              <w:bottom w:val="single" w:color="CCCCCC" w:sz="1"/>
              <w:right w:val="single" w:color="CCCCCC" w:sz="1"/>
            </w:tcBorders>
            <w:shd w:fill="F0FFF4" w:val="clear"/>
            <w:tcMar>
              <w:top w:type="dxa" w:w="90"/>
              <w:left w:type="dxa" w:w="140"/>
              <w:bottom w:type="dxa" w:w="90"/>
              <w:right w:type="dxa" w:w="140"/>
            </w:tcMar>
          </w:tcPr>
          <w:p>
            <w:pPr>
              <w:spacing w:after="80" w:before="80"/>
              <w:jc w:val="left"/>
            </w:pPr>
            <w:r>
              <w:rPr>
                <w:rFonts w:ascii="Arial" w:cs="Arial" w:eastAsia="Arial" w:hAnsi="Arial"/>
                <w:b w:val="false"/>
                <w:bCs w:val="false"/>
                <w:i w:val="false"/>
                <w:iCs w:val="false"/>
                <w:color w:val="2D2D2D"/>
                <w:sz w:val="20"/>
                <w:szCs w:val="20"/>
              </w:rPr>
              <w:t xml:space="preserve">Critical — renewal depends on value</w:t>
            </w:r>
          </w:p>
        </w:tc>
      </w:tr>
      <w:tr>
        <w:tc>
          <w:tcPr>
            <w:tcW w:type="dxa" w:w="2600"/>
            <w:tcBorders>
              <w:top w:val="single" w:color="CCCCCC" w:sz="1"/>
              <w:left w:val="single" w:color="CCCCCC" w:sz="1"/>
              <w:bottom w:val="single" w:color="CCCCCC" w:sz="1"/>
              <w:right w:val="single" w:color="CCCCCC" w:sz="1"/>
            </w:tcBorders>
            <w:shd w:fill="F8FBFF" w:val="clear"/>
            <w:tcMar>
              <w:top w:type="dxa" w:w="90"/>
              <w:left w:type="dxa" w:w="140"/>
              <w:bottom w:type="dxa" w:w="90"/>
              <w:right w:type="dxa" w:w="140"/>
            </w:tcMar>
          </w:tcPr>
          <w:p>
            <w:pPr>
              <w:spacing w:after="80" w:before="80"/>
              <w:jc w:val="left"/>
            </w:pPr>
            <w:r>
              <w:rPr>
                <w:rFonts w:ascii="Arial" w:cs="Arial" w:eastAsia="Arial" w:hAnsi="Arial"/>
                <w:b/>
                <w:bCs/>
                <w:i w:val="false"/>
                <w:iCs w:val="false"/>
                <w:color w:val="1F4E79"/>
                <w:sz w:val="20"/>
                <w:szCs w:val="20"/>
              </w:rPr>
              <w:t xml:space="preserve">Predictability</w:t>
            </w:r>
          </w:p>
        </w:tc>
        <w:tc>
          <w:tcPr>
            <w:tcW w:type="dxa" w:w="33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80" w:before="80"/>
              <w:jc w:val="left"/>
            </w:pPr>
            <w:r>
              <w:rPr>
                <w:rFonts w:ascii="Arial" w:cs="Arial" w:eastAsia="Arial" w:hAnsi="Arial"/>
                <w:b w:val="false"/>
                <w:bCs w:val="false"/>
                <w:i w:val="false"/>
                <w:iCs w:val="false"/>
                <w:color w:val="2D2D2D"/>
                <w:sz w:val="20"/>
                <w:szCs w:val="20"/>
              </w:rPr>
              <w:t xml:space="preserve">Lumpy, unpredictable revenue</w:t>
            </w:r>
          </w:p>
        </w:tc>
        <w:tc>
          <w:tcPr>
            <w:tcW w:type="dxa" w:w="3380"/>
            <w:tcBorders>
              <w:top w:val="single" w:color="CCCCCC" w:sz="1"/>
              <w:left w:val="single" w:color="CCCCCC" w:sz="1"/>
              <w:bottom w:val="single" w:color="CCCCCC" w:sz="1"/>
              <w:right w:val="single" w:color="CCCCCC" w:sz="1"/>
            </w:tcBorders>
            <w:shd w:fill="F9FFF9" w:val="clear"/>
            <w:tcMar>
              <w:top w:type="dxa" w:w="90"/>
              <w:left w:type="dxa" w:w="140"/>
              <w:bottom w:type="dxa" w:w="90"/>
              <w:right w:type="dxa" w:w="140"/>
            </w:tcMar>
          </w:tcPr>
          <w:p>
            <w:pPr>
              <w:spacing w:after="80" w:before="80"/>
              <w:jc w:val="left"/>
            </w:pPr>
            <w:r>
              <w:rPr>
                <w:rFonts w:ascii="Arial" w:cs="Arial" w:eastAsia="Arial" w:hAnsi="Arial"/>
                <w:b w:val="false"/>
                <w:bCs w:val="false"/>
                <w:i w:val="false"/>
                <w:iCs w:val="false"/>
                <w:color w:val="2D2D2D"/>
                <w:sz w:val="20"/>
                <w:szCs w:val="20"/>
              </w:rPr>
              <w:t xml:space="preserve">Predictable, recurring revenue (ARR)</w:t>
            </w:r>
          </w:p>
        </w:tc>
      </w:tr>
      <w:tr>
        <w:tc>
          <w:tcPr>
            <w:tcW w:type="dxa" w:w="26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tcPr>
          <w:p>
            <w:pPr>
              <w:spacing w:after="80" w:before="80"/>
              <w:jc w:val="left"/>
            </w:pPr>
            <w:r>
              <w:rPr>
                <w:rFonts w:ascii="Arial" w:cs="Arial" w:eastAsia="Arial" w:hAnsi="Arial"/>
                <w:b/>
                <w:bCs/>
                <w:i w:val="false"/>
                <w:iCs w:val="false"/>
                <w:color w:val="1F4E79"/>
                <w:sz w:val="20"/>
                <w:szCs w:val="20"/>
              </w:rPr>
              <w:t xml:space="preserve">Example (Cisco)</w:t>
            </w:r>
          </w:p>
        </w:tc>
        <w:tc>
          <w:tcPr>
            <w:tcW w:type="dxa" w:w="3380"/>
            <w:tcBorders>
              <w:top w:val="single" w:color="CCCCCC" w:sz="1"/>
              <w:left w:val="single" w:color="CCCCCC" w:sz="1"/>
              <w:bottom w:val="single" w:color="CCCCCC" w:sz="1"/>
              <w:right w:val="single" w:color="CCCCCC" w:sz="1"/>
            </w:tcBorders>
            <w:shd w:fill="FDFEFE" w:val="clear"/>
            <w:tcMar>
              <w:top w:type="dxa" w:w="90"/>
              <w:left w:type="dxa" w:w="140"/>
              <w:bottom w:type="dxa" w:w="90"/>
              <w:right w:type="dxa" w:w="140"/>
            </w:tcMar>
          </w:tcPr>
          <w:p>
            <w:pPr>
              <w:spacing w:after="80" w:before="80"/>
              <w:jc w:val="left"/>
            </w:pPr>
            <w:r>
              <w:rPr>
                <w:rFonts w:ascii="Arial" w:cs="Arial" w:eastAsia="Arial" w:hAnsi="Arial"/>
                <w:b w:val="false"/>
                <w:bCs w:val="false"/>
                <w:i w:val="false"/>
                <w:iCs w:val="false"/>
                <w:color w:val="2D2D2D"/>
                <w:sz w:val="20"/>
                <w:szCs w:val="20"/>
              </w:rPr>
              <w:t xml:space="preserve">Legacy router OS licenses</w:t>
            </w:r>
          </w:p>
        </w:tc>
        <w:tc>
          <w:tcPr>
            <w:tcW w:type="dxa" w:w="3380"/>
            <w:tcBorders>
              <w:top w:val="single" w:color="CCCCCC" w:sz="1"/>
              <w:left w:val="single" w:color="CCCCCC" w:sz="1"/>
              <w:bottom w:val="single" w:color="CCCCCC" w:sz="1"/>
              <w:right w:val="single" w:color="CCCCCC" w:sz="1"/>
            </w:tcBorders>
            <w:shd w:fill="F0FFF4" w:val="clear"/>
            <w:tcMar>
              <w:top w:type="dxa" w:w="90"/>
              <w:left w:type="dxa" w:w="140"/>
              <w:bottom w:type="dxa" w:w="90"/>
              <w:right w:type="dxa" w:w="140"/>
            </w:tcMar>
          </w:tcPr>
          <w:p>
            <w:pPr>
              <w:spacing w:after="80" w:before="80"/>
              <w:jc w:val="left"/>
            </w:pPr>
            <w:r>
              <w:rPr>
                <w:rFonts w:ascii="Arial" w:cs="Arial" w:eastAsia="Arial" w:hAnsi="Arial"/>
                <w:b w:val="false"/>
                <w:bCs w:val="false"/>
                <w:i w:val="false"/>
                <w:iCs w:val="false"/>
                <w:color w:val="2D2D2D"/>
                <w:sz w:val="20"/>
                <w:szCs w:val="20"/>
              </w:rPr>
              <w:t xml:space="preserve">Webex, Umbrella, DNA Center cloud</w:t>
            </w:r>
          </w:p>
        </w:tc>
      </w:tr>
    </w:tbl>
    <w:p>
      <w:pPr>
        <w:spacing w:after="0" w:before="160"/>
        <w:jc w:val="left"/>
      </w:pPr>
      <w:r>
        <w:rPr>
          <w:rFonts w:ascii="Arial" w:cs="Arial" w:eastAsia="Arial" w:hAnsi="Arial"/>
          <w:b w:val="false"/>
          <w:bCs w:val="false"/>
          <w:i w:val="false"/>
          <w:iCs w:val="false"/>
          <w:color w:val="2D2D2D"/>
          <w:sz w:val="22"/>
          <w:szCs w:val="22"/>
        </w:rPr>
        <w:t xml:space="preserve"/>
      </w:r>
    </w:p>
    <w:p>
      <w:pPr>
        <w:pStyle w:val="Heading2"/>
        <w:spacing w:after="100" w:before="280"/>
        <w:jc w:val="left"/>
      </w:pPr>
      <w:r>
        <w:rPr>
          <w:rFonts w:ascii="Arial" w:cs="Arial" w:eastAsia="Arial" w:hAnsi="Arial"/>
          <w:b/>
          <w:bCs/>
          <w:i w:val="false"/>
          <w:iCs w:val="false"/>
          <w:color w:val="2E75B6"/>
          <w:sz w:val="27"/>
          <w:szCs w:val="27"/>
        </w:rPr>
        <w:t xml:space="preserve">1.4  Why Cisco Shifted to Subscription — Business Implications</w:t>
      </w:r>
    </w:p>
    <w:p>
      <w:pPr>
        <w:spacing w:after="60" w:before="60"/>
        <w:jc w:val="left"/>
      </w:pPr>
      <w:r>
        <w:rPr>
          <w:rFonts w:ascii="Arial" w:cs="Arial" w:eastAsia="Arial" w:hAnsi="Arial"/>
          <w:b w:val="false"/>
          <w:bCs w:val="false"/>
          <w:i w:val="false"/>
          <w:iCs w:val="false"/>
          <w:color w:val="2D2D2D"/>
          <w:sz w:val="22"/>
          <w:szCs w:val="22"/>
        </w:rPr>
        <w:t xml:space="preserve">Cisco has been strategically transitioning from predominantly hardware and perpetual software sales toward a subscription and software-first model. This shift has profound implications for how Cisco, its partners, and its CSMs operate.</w:t>
      </w:r>
    </w:p>
    <w:p>
      <w:pPr>
        <w:spacing w:after="0" w:before="60"/>
        <w:jc w:val="left"/>
      </w:pPr>
      <w:r>
        <w:rPr>
          <w:rFonts w:ascii="Arial" w:cs="Arial" w:eastAsia="Arial" w:hAnsi="Arial"/>
          <w:b w:val="false"/>
          <w:bCs w:val="false"/>
          <w:i w:val="false"/>
          <w:iCs w:val="false"/>
          <w:color w:val="2D2D2D"/>
          <w:sz w:val="22"/>
          <w:szCs w:val="22"/>
        </w:rPr>
        <w:t xml:space="preserve"/>
      </w:r>
    </w:p>
    <w:p>
      <w:pPr>
        <w:pStyle w:val="Heading3"/>
        <w:spacing w:after="80" w:before="200"/>
        <w:jc w:val="left"/>
      </w:pPr>
      <w:r>
        <w:rPr>
          <w:rFonts w:ascii="Arial" w:cs="Arial" w:eastAsia="Arial" w:hAnsi="Arial"/>
          <w:b/>
          <w:bCs/>
          <w:i w:val="false"/>
          <w:iCs w:val="false"/>
          <w:color w:val="1A5276"/>
          <w:sz w:val="23"/>
          <w:szCs w:val="23"/>
        </w:rPr>
        <w:t xml:space="preserve">From Cisco's Perspective:</w:t>
      </w:r>
    </w:p>
    <w:p>
      <w:pPr>
        <w:pStyle w:val="ListParagraph"/>
        <w:numPr>
          <w:ilvl w:val="0"/>
          <w:numId w:val="2"/>
        </w:numPr>
        <w:spacing w:after="50" w:before="50"/>
      </w:pPr>
      <w:r>
        <w:rPr>
          <w:rFonts w:ascii="Arial" w:cs="Arial" w:eastAsia="Arial" w:hAnsi="Arial"/>
          <w:b w:val="false"/>
          <w:bCs w:val="false"/>
          <w:i w:val="false"/>
          <w:iCs w:val="false"/>
          <w:color w:val="2D2D2D"/>
          <w:sz w:val="21"/>
          <w:szCs w:val="21"/>
        </w:rPr>
        <w:t xml:space="preserve">Predictable, recurring revenue improves financial forecasting and stock valuation</w:t>
      </w:r>
    </w:p>
    <w:p>
      <w:pPr>
        <w:pStyle w:val="ListParagraph"/>
        <w:numPr>
          <w:ilvl w:val="0"/>
          <w:numId w:val="2"/>
        </w:numPr>
        <w:spacing w:after="50" w:before="50"/>
      </w:pPr>
      <w:r>
        <w:rPr>
          <w:rFonts w:ascii="Arial" w:cs="Arial" w:eastAsia="Arial" w:hAnsi="Arial"/>
          <w:b w:val="false"/>
          <w:bCs w:val="false"/>
          <w:i w:val="false"/>
          <w:iCs w:val="false"/>
          <w:color w:val="2D2D2D"/>
          <w:sz w:val="21"/>
          <w:szCs w:val="21"/>
        </w:rPr>
        <w:t xml:space="preserve">Higher customer lifetime value (CLV) vs. one-time perpetual transactions</w:t>
      </w:r>
    </w:p>
    <w:p>
      <w:pPr>
        <w:pStyle w:val="ListParagraph"/>
        <w:numPr>
          <w:ilvl w:val="0"/>
          <w:numId w:val="2"/>
        </w:numPr>
        <w:spacing w:after="50" w:before="50"/>
      </w:pPr>
      <w:r>
        <w:rPr>
          <w:rFonts w:ascii="Arial" w:cs="Arial" w:eastAsia="Arial" w:hAnsi="Arial"/>
          <w:b w:val="false"/>
          <w:bCs w:val="false"/>
          <w:i w:val="false"/>
          <w:iCs w:val="false"/>
          <w:color w:val="2D2D2D"/>
          <w:sz w:val="21"/>
          <w:szCs w:val="21"/>
        </w:rPr>
        <w:t xml:space="preserve">Competitive advantage in cloud-native markets (AWS, Microsoft, Google)</w:t>
      </w:r>
    </w:p>
    <w:p>
      <w:pPr>
        <w:pStyle w:val="ListParagraph"/>
        <w:numPr>
          <w:ilvl w:val="0"/>
          <w:numId w:val="2"/>
        </w:numPr>
        <w:spacing w:after="50" w:before="50"/>
      </w:pPr>
      <w:r>
        <w:rPr>
          <w:rFonts w:ascii="Arial" w:cs="Arial" w:eastAsia="Arial" w:hAnsi="Arial"/>
          <w:b w:val="false"/>
          <w:bCs w:val="false"/>
          <w:i w:val="false"/>
          <w:iCs w:val="false"/>
          <w:color w:val="2D2D2D"/>
          <w:sz w:val="21"/>
          <w:szCs w:val="21"/>
        </w:rPr>
        <w:t xml:space="preserve">Continuous innovation delivery — customers always on the latest version</w:t>
      </w:r>
    </w:p>
    <w:p>
      <w:pPr>
        <w:spacing w:after="0" w:before="60"/>
        <w:jc w:val="left"/>
      </w:pPr>
      <w:r>
        <w:rPr>
          <w:rFonts w:ascii="Arial" w:cs="Arial" w:eastAsia="Arial" w:hAnsi="Arial"/>
          <w:b w:val="false"/>
          <w:bCs w:val="false"/>
          <w:i w:val="false"/>
          <w:iCs w:val="false"/>
          <w:color w:val="2D2D2D"/>
          <w:sz w:val="22"/>
          <w:szCs w:val="22"/>
        </w:rPr>
        <w:t xml:space="preserve"/>
      </w:r>
    </w:p>
    <w:p>
      <w:pPr>
        <w:pStyle w:val="Heading3"/>
        <w:spacing w:after="80" w:before="200"/>
        <w:jc w:val="left"/>
      </w:pPr>
      <w:r>
        <w:rPr>
          <w:rFonts w:ascii="Arial" w:cs="Arial" w:eastAsia="Arial" w:hAnsi="Arial"/>
          <w:b/>
          <w:bCs/>
          <w:i w:val="false"/>
          <w:iCs w:val="false"/>
          <w:color w:val="1A5276"/>
          <w:sz w:val="23"/>
          <w:szCs w:val="23"/>
        </w:rPr>
        <w:t xml:space="preserve">From the CSM's Perspective:</w:t>
      </w:r>
    </w:p>
    <w:p>
      <w:pPr>
        <w:pStyle w:val="ListParagraph"/>
        <w:numPr>
          <w:ilvl w:val="0"/>
          <w:numId w:val="2"/>
        </w:numPr>
        <w:spacing w:after="50" w:before="50"/>
      </w:pPr>
      <w:r>
        <w:rPr>
          <w:rFonts w:ascii="Arial" w:cs="Arial" w:eastAsia="Arial" w:hAnsi="Arial"/>
          <w:b w:val="false"/>
          <w:bCs w:val="false"/>
          <w:i w:val="false"/>
          <w:iCs w:val="false"/>
          <w:color w:val="2D2D2D"/>
          <w:sz w:val="21"/>
          <w:szCs w:val="21"/>
        </w:rPr>
        <w:t xml:space="preserve">The CSM becomes critical — every renewal is a revenue event requiring active management</w:t>
      </w:r>
    </w:p>
    <w:p>
      <w:pPr>
        <w:pStyle w:val="ListParagraph"/>
        <w:numPr>
          <w:ilvl w:val="0"/>
          <w:numId w:val="2"/>
        </w:numPr>
        <w:spacing w:after="50" w:before="50"/>
      </w:pPr>
      <w:r>
        <w:rPr>
          <w:rFonts w:ascii="Arial" w:cs="Arial" w:eastAsia="Arial" w:hAnsi="Arial"/>
          <w:b w:val="false"/>
          <w:bCs w:val="false"/>
          <w:i w:val="false"/>
          <w:iCs w:val="false"/>
          <w:color w:val="2D2D2D"/>
          <w:sz w:val="21"/>
          <w:szCs w:val="21"/>
        </w:rPr>
        <w:t xml:space="preserve">CSMs must demonstrate ongoing value, not just post-sale support</w:t>
      </w:r>
    </w:p>
    <w:p>
      <w:pPr>
        <w:pStyle w:val="ListParagraph"/>
        <w:numPr>
          <w:ilvl w:val="0"/>
          <w:numId w:val="2"/>
        </w:numPr>
        <w:spacing w:after="50" w:before="50"/>
      </w:pPr>
      <w:r>
        <w:rPr>
          <w:rFonts w:ascii="Arial" w:cs="Arial" w:eastAsia="Arial" w:hAnsi="Arial"/>
          <w:b w:val="false"/>
          <w:bCs w:val="false"/>
          <w:i w:val="false"/>
          <w:iCs w:val="false"/>
          <w:color w:val="2D2D2D"/>
          <w:sz w:val="21"/>
          <w:szCs w:val="21"/>
        </w:rPr>
        <w:t xml:space="preserve">Adoption, engagement, and health scores become core performance metrics</w:t>
      </w:r>
    </w:p>
    <w:p>
      <w:pPr>
        <w:pStyle w:val="ListParagraph"/>
        <w:numPr>
          <w:ilvl w:val="0"/>
          <w:numId w:val="2"/>
        </w:numPr>
        <w:spacing w:after="50" w:before="50"/>
      </w:pPr>
      <w:r>
        <w:rPr>
          <w:rFonts w:ascii="Arial" w:cs="Arial" w:eastAsia="Arial" w:hAnsi="Arial"/>
          <w:b w:val="false"/>
          <w:bCs w:val="false"/>
          <w:i w:val="false"/>
          <w:iCs w:val="false"/>
          <w:color w:val="2D2D2D"/>
          <w:sz w:val="21"/>
          <w:szCs w:val="21"/>
        </w:rPr>
        <w:t xml:space="preserve">Poor adoption = risk of churn = direct revenue loss for Cisco and partners</w:t>
      </w:r>
    </w:p>
    <w:p>
      <w:pPr>
        <w:spacing w:after="0" w:before="6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single" w:color="1F4E79" w:sz="3"/>
              <w:bottom w:val="single" w:color="1F4E79" w:sz="3"/>
              <w:right w:val="single" w:color="1F4E79" w:sz="3"/>
            </w:tcBorders>
            <w:shd w:fill="1F4E79" w:val="clear"/>
            <w:tcMar>
              <w:top w:type="dxa" w:w="80"/>
              <w:left w:type="dxa" w:w="180"/>
              <w:bottom w:type="dxa" w:w="80"/>
              <w:right w:type="dxa" w:w="180"/>
            </w:tcMar>
          </w:tcPr>
          <w:p>
            <w:pPr>
              <w:spacing w:after="80" w:before="80"/>
              <w:jc w:val="left"/>
            </w:pPr>
            <w:r>
              <w:rPr>
                <w:rFonts w:ascii="Arial" w:cs="Arial" w:eastAsia="Arial" w:hAnsi="Arial"/>
                <w:b/>
                <w:bCs/>
                <w:i w:val="false"/>
                <w:iCs w:val="false"/>
                <w:color w:val="FFFFFF"/>
                <w:sz w:val="20"/>
                <w:szCs w:val="20"/>
              </w:rPr>
              <w:t xml:space="preserve">KEY INSIGHT — Why CSM Exists</w:t>
            </w:r>
          </w:p>
        </w:tc>
      </w:tr>
      <w:tr>
        <w:tc>
          <w:tcPr>
            <w:tcW w:type="dxa" w:w="9360"/>
            <w:tcBorders>
              <w:top w:val="single" w:color="1F4E79" w:sz="3"/>
              <w:left w:val="single" w:color="1F4E79" w:sz="3"/>
              <w:bottom w:val="single" w:color="1F4E79" w:sz="3"/>
              <w:right w:val="single" w:color="1F4E79" w:sz="3"/>
            </w:tcBorders>
            <w:shd w:fill="EAF2FA" w:val="clear"/>
            <w:tcMar>
              <w:top w:type="dxa" w:w="120"/>
              <w:left w:type="dxa" w:w="200"/>
              <w:bottom w:type="dxa" w:w="120"/>
              <w:right w:type="dxa" w:w="200"/>
            </w:tcMar>
          </w:tcPr>
          <w:p>
            <w:pPr>
              <w:spacing w:after="80" w:before="80"/>
              <w:jc w:val="left"/>
            </w:pPr>
            <w:r>
              <w:rPr>
                <w:rFonts w:ascii="Arial" w:cs="Arial" w:eastAsia="Arial" w:hAnsi="Arial"/>
                <w:b w:val="false"/>
                <w:bCs w:val="false"/>
                <w:i w:val="false"/>
                <w:iCs w:val="false"/>
                <w:color w:val="1A3A5C"/>
                <w:sz w:val="21"/>
                <w:szCs w:val="21"/>
              </w:rPr>
              <w:t xml:space="preserve">KEY INSIGHT FOR THE EXAM: The reason Cisco Customer Success Manager (CSM) role exists is directly tied to the subscription model. Without subscriptions, there is no recurring revenue to protect, no renewal to manage, and no need for a CSM. The subscription economy created the CSM profession.</w:t>
            </w:r>
          </w:p>
        </w:tc>
      </w:tr>
    </w:tbl>
    <w:p>
      <w:pPr>
        <w:spacing w:after="0" w:before="0"/>
        <w:jc w:val="left"/>
      </w:pPr>
      <w:r>
        <w:rPr>
          <w:rFonts w:ascii="Arial" w:cs="Arial" w:eastAsia="Arial" w:hAnsi="Arial"/>
          <w:b w:val="false"/>
          <w:bCs w:val="false"/>
          <w:i w:val="false"/>
          <w:iCs w:val="false"/>
          <w:color w:val="2D2D2D"/>
          <w:sz w:val="22"/>
          <w:szCs w:val="22"/>
        </w:rPr>
        <w:t xml:space="preserve"/>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F4E79" w:sz="3"/>
              <w:left w:val="single" w:color="1F4E79" w:sz="3"/>
              <w:bottom w:val="single" w:color="1F4E79" w:sz="3"/>
              <w:right w:val="single" w:color="1F4E79" w:sz="3"/>
            </w:tcBorders>
            <w:shd w:fill="1A5276" w:val="clear"/>
            <w:tcMar>
              <w:top w:type="dxa" w:w="120"/>
              <w:left w:type="dxa" w:w="120"/>
              <w:bottom w:type="dxa" w:w="120"/>
              <w:right w:type="dxa" w:w="120"/>
            </w:tcMar>
            <w:vAlign w:val="center"/>
          </w:tcPr>
          <w:p>
            <w:pPr>
              <w:spacing w:after="80" w:before="80"/>
              <w:jc w:val="center"/>
            </w:pPr>
            <w:r>
              <w:rPr>
                <w:rFonts w:ascii="Arial" w:cs="Arial" w:eastAsia="Arial" w:hAnsi="Arial"/>
                <w:b/>
                <w:bCs/>
                <w:i w:val="false"/>
                <w:iCs w:val="false"/>
                <w:color w:val="FFFFFF"/>
                <w:sz w:val="28"/>
                <w:szCs w:val="28"/>
              </w:rPr>
              <w:t xml:space="preserve">02</w:t>
            </w:r>
          </w:p>
        </w:tc>
        <w:tc>
          <w:tcPr>
            <w:tcW w:type="dxa" w:w="8660"/>
            <w:tcBorders>
              <w:top w:val="single" w:color="1F4E79" w:sz="3"/>
              <w:left w:val="single" w:color="1F4E79" w:sz="3"/>
              <w:bottom w:val="single" w:color="1F4E79" w:sz="3"/>
              <w:right w:val="single" w:color="1F4E79" w:sz="3"/>
            </w:tcBorders>
            <w:shd w:fill="EBF5FB" w:val="clear"/>
            <w:tcMar>
              <w:top w:type="dxa" w:w="120"/>
              <w:left w:type="dxa" w:w="180"/>
              <w:bottom w:type="dxa" w:w="120"/>
              <w:right w:type="dxa" w:w="120"/>
            </w:tcMar>
            <w:vAlign w:val="center"/>
          </w:tcPr>
          <w:p>
            <w:pPr>
              <w:spacing w:after="80" w:before="80"/>
              <w:jc w:val="left"/>
            </w:pPr>
            <w:r>
              <w:rPr>
                <w:rFonts w:ascii="Arial" w:cs="Arial" w:eastAsia="Arial" w:hAnsi="Arial"/>
                <w:b/>
                <w:bCs/>
                <w:i w:val="false"/>
                <w:iCs w:val="false"/>
                <w:color w:val="1A5276"/>
                <w:sz w:val="26"/>
                <w:szCs w:val="26"/>
              </w:rPr>
              <w:t xml:space="preserve">ARR, MRR, TCV — Definitions, Formulas &amp; Calculations</w:t>
            </w:r>
          </w:p>
        </w:tc>
      </w:tr>
    </w:tbl>
    <w:p>
      <w:pPr>
        <w:spacing w:after="0" w:before="120"/>
        <w:jc w:val="left"/>
      </w:pPr>
      <w:r>
        <w:rPr>
          <w:rFonts w:ascii="Arial" w:cs="Arial" w:eastAsia="Arial" w:hAnsi="Arial"/>
          <w:b w:val="false"/>
          <w:bCs w:val="false"/>
          <w:i w:val="false"/>
          <w:iCs w:val="false"/>
          <w:color w:val="2D2D2D"/>
          <w:sz w:val="22"/>
          <w:szCs w:val="22"/>
        </w:rPr>
        <w:t xml:space="preserve"/>
      </w:r>
    </w:p>
    <w:p>
      <w:pPr>
        <w:pStyle w:val="Heading2"/>
        <w:spacing w:after="100" w:before="280"/>
        <w:jc w:val="left"/>
      </w:pPr>
      <w:r>
        <w:rPr>
          <w:rFonts w:ascii="Arial" w:cs="Arial" w:eastAsia="Arial" w:hAnsi="Arial"/>
          <w:b/>
          <w:bCs/>
          <w:i w:val="false"/>
          <w:iCs w:val="false"/>
          <w:color w:val="2E75B6"/>
          <w:sz w:val="27"/>
          <w:szCs w:val="27"/>
        </w:rPr>
        <w:t xml:space="preserve">2.1  Annual Recurring Revenue (ARR)</w:t>
      </w:r>
    </w:p>
    <w:p>
      <w:pPr>
        <w:spacing w:after="60" w:before="60"/>
        <w:jc w:val="left"/>
      </w:pPr>
      <w:r>
        <w:rPr>
          <w:rFonts w:ascii="Arial" w:cs="Arial" w:eastAsia="Arial" w:hAnsi="Arial"/>
          <w:b w:val="false"/>
          <w:bCs w:val="false"/>
          <w:i w:val="false"/>
          <w:iCs w:val="false"/>
          <w:color w:val="2D2D2D"/>
          <w:sz w:val="22"/>
          <w:szCs w:val="22"/>
        </w:rPr>
        <w:t xml:space="preserve">ARR is the annualized value of all recurring subscription revenue. It is the single most important metric for measuring the health and size of a subscription business. ARR excludes one-time fees (setup, professional services, hardware) and non-recurring revenue.</w:t>
      </w:r>
    </w:p>
    <w:p>
      <w:pPr>
        <w:spacing w:after="0" w:before="8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3"/>
              <w:left w:val="single" w:color="1F4E79" w:sz="3"/>
              <w:bottom w:val="single" w:color="1F4E79" w:sz="3"/>
              <w:right w:val="single" w:color="1F4E79" w:sz="3"/>
            </w:tcBorders>
            <w:shd w:fill="1A5276"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FORMULA</w:t>
            </w:r>
          </w:p>
        </w:tc>
        <w:tc>
          <w:tcPr>
            <w:tcW w:type="dxa" w:w="7160"/>
            <w:tcBorders>
              <w:top w:val="single" w:color="1F4E79" w:sz="3"/>
              <w:left w:val="single" w:color="1F4E79" w:sz="3"/>
              <w:bottom w:val="single" w:color="1F4E79" w:sz="3"/>
              <w:right w:val="single" w:color="1F4E79" w:sz="3"/>
            </w:tcBorders>
            <w:shd w:fill="EBF5FB" w:val="clear"/>
            <w:tcMar>
              <w:top w:type="dxa" w:w="100"/>
              <w:left w:type="dxa" w:w="180"/>
              <w:bottom w:type="dxa" w:w="100"/>
              <w:right w:type="dxa" w:w="140"/>
            </w:tcMar>
          </w:tcPr>
          <w:p>
            <w:pPr>
              <w:spacing w:after="80" w:before="80"/>
              <w:jc w:val="left"/>
            </w:pPr>
            <w:r>
              <w:rPr>
                <w:rFonts w:ascii="Arial" w:cs="Arial" w:eastAsia="Arial" w:hAnsi="Arial"/>
                <w:b/>
                <w:bCs/>
                <w:i w:val="false"/>
                <w:iCs w:val="false"/>
                <w:color w:val="1A5276"/>
                <w:sz w:val="24"/>
                <w:szCs w:val="24"/>
              </w:rPr>
              <w:t xml:space="preserve">ARR  =  Monthly Recurring Revenue (MRR)  ×  12</w:t>
            </w:r>
          </w:p>
        </w:tc>
      </w:tr>
      <w:tr>
        <w:tc>
          <w:tcPr>
            <w:tcW w:type="dxa" w:w="2200"/>
            <w:tcBorders>
              <w:top w:val="single" w:color="1F4E79" w:sz="3"/>
              <w:left w:val="single" w:color="1F4E79" w:sz="3"/>
              <w:bottom w:val="single" w:color="1F4E79" w:sz="3"/>
              <w:right w:val="single" w:color="1F4E79" w:sz="3"/>
            </w:tcBorders>
            <w:shd w:fill="1A5276"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ALSO EQUALS</w:t>
            </w:r>
          </w:p>
        </w:tc>
        <w:tc>
          <w:tcPr>
            <w:tcW w:type="dxa" w:w="7160"/>
            <w:tcBorders>
              <w:top w:val="single" w:color="1F4E79" w:sz="3"/>
              <w:left w:val="single" w:color="1F4E79" w:sz="3"/>
              <w:bottom w:val="single" w:color="1F4E79" w:sz="3"/>
              <w:right w:val="single" w:color="1F4E79" w:sz="3"/>
            </w:tcBorders>
            <w:shd w:fill="F0F7FF" w:val="clear"/>
            <w:tcMar>
              <w:top w:type="dxa" w:w="100"/>
              <w:left w:type="dxa" w:w="180"/>
              <w:bottom w:type="dxa" w:w="100"/>
              <w:right w:type="dxa" w:w="140"/>
            </w:tcMar>
          </w:tcPr>
          <w:p>
            <w:pPr>
              <w:spacing w:after="80" w:before="80"/>
              <w:jc w:val="left"/>
            </w:pPr>
            <w:r>
              <w:rPr>
                <w:rFonts w:ascii="Arial" w:cs="Arial" w:eastAsia="Arial" w:hAnsi="Arial"/>
                <w:b/>
                <w:bCs/>
                <w:i w:val="false"/>
                <w:iCs w:val="false"/>
                <w:color w:val="1A5276"/>
                <w:sz w:val="22"/>
                <w:szCs w:val="22"/>
              </w:rPr>
              <w:t xml:space="preserve">ARR  =  (Number of Customers)  ×  (Average Annual Subscription Value per Customer)</w:t>
            </w:r>
          </w:p>
        </w:tc>
      </w:tr>
      <w:tr>
        <w:tc>
          <w:tcPr>
            <w:tcW w:type="dxa" w:w="2200"/>
            <w:tcBorders>
              <w:top w:val="single" w:color="1F4E79" w:sz="3"/>
              <w:left w:val="single" w:color="1F4E79" w:sz="3"/>
              <w:bottom w:val="single" w:color="1F4E79" w:sz="3"/>
              <w:right w:val="single" w:color="1F4E79" w:sz="3"/>
            </w:tcBorders>
            <w:shd w:fill="2E75B6"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EXCLUDES</w:t>
            </w:r>
          </w:p>
        </w:tc>
        <w:tc>
          <w:tcPr>
            <w:tcW w:type="dxa" w:w="7160"/>
            <w:tcBorders>
              <w:top w:val="single" w:color="1F4E79" w:sz="3"/>
              <w:left w:val="single" w:color="1F4E79" w:sz="3"/>
              <w:bottom w:val="single" w:color="1F4E79" w:sz="3"/>
              <w:right w:val="single" w:color="1F4E79" w:sz="3"/>
            </w:tcBorders>
            <w:shd w:fill="FEF9E7" w:val="clear"/>
            <w:tcMar>
              <w:top w:type="dxa" w:w="100"/>
              <w:left w:type="dxa" w:w="180"/>
              <w:bottom w:type="dxa" w:w="100"/>
              <w:right w:type="dxa" w:w="140"/>
            </w:tcMar>
          </w:tcPr>
          <w:p>
            <w:pPr>
              <w:spacing w:after="80" w:before="80"/>
              <w:jc w:val="left"/>
            </w:pPr>
            <w:r>
              <w:rPr>
                <w:rFonts w:ascii="Arial" w:cs="Arial" w:eastAsia="Arial" w:hAnsi="Arial"/>
                <w:b w:val="false"/>
                <w:bCs w:val="false"/>
                <w:i w:val="false"/>
                <w:iCs w:val="false"/>
                <w:color w:val="7D4E00"/>
                <w:sz w:val="20"/>
                <w:szCs w:val="20"/>
              </w:rPr>
              <w:t xml:space="preserve">One-time setup fees, professional services fees, hardware revenue, non-recurring add-ons</w:t>
            </w:r>
          </w:p>
        </w:tc>
      </w:tr>
    </w:tbl>
    <w:p>
      <w:pPr>
        <w:spacing w:after="0" w:before="120"/>
        <w:jc w:val="left"/>
      </w:pPr>
      <w:r>
        <w:rPr>
          <w:rFonts w:ascii="Arial" w:cs="Arial" w:eastAsia="Arial" w:hAnsi="Arial"/>
          <w:b w:val="false"/>
          <w:bCs w:val="false"/>
          <w:i w:val="false"/>
          <w:iCs w:val="false"/>
          <w:color w:val="2D2D2D"/>
          <w:sz w:val="22"/>
          <w:szCs w:val="22"/>
        </w:rPr>
        <w:t xml:space="preserve"/>
      </w:r>
    </w:p>
    <w:p>
      <w:pPr>
        <w:pStyle w:val="Heading3"/>
        <w:spacing w:after="80" w:before="200"/>
        <w:jc w:val="left"/>
      </w:pPr>
      <w:r>
        <w:rPr>
          <w:rFonts w:ascii="Arial" w:cs="Arial" w:eastAsia="Arial" w:hAnsi="Arial"/>
          <w:b/>
          <w:bCs/>
          <w:i w:val="false"/>
          <w:iCs w:val="false"/>
          <w:color w:val="1A5276"/>
          <w:sz w:val="23"/>
          <w:szCs w:val="23"/>
        </w:rPr>
        <w:t xml:space="preserve">ARR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3"/>
              <w:left w:val="single" w:color="1F4E79" w:sz="3"/>
              <w:bottom w:val="single" w:color="1F4E79" w:sz="3"/>
              <w:right w:val="single" w:color="1F4E79" w:sz="3"/>
            </w:tcBorders>
            <w:shd w:fill="1F4E79"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FFFFFF"/>
                <w:sz w:val="20"/>
                <w:szCs w:val="20"/>
              </w:rPr>
              <w:t xml:space="preserve">SCENARIO</w:t>
            </w:r>
          </w:p>
        </w:tc>
        <w:tc>
          <w:tcPr>
            <w:tcW w:type="dxa" w:w="4680"/>
            <w:tcBorders>
              <w:top w:val="single" w:color="1F4E79" w:sz="3"/>
              <w:left w:val="single" w:color="1F4E79" w:sz="3"/>
              <w:bottom w:val="single" w:color="1F4E79" w:sz="3"/>
              <w:right w:val="single" w:color="1F4E79" w:sz="3"/>
            </w:tcBorders>
            <w:shd w:fill="1F4E79"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FFFFFF"/>
                <w:sz w:val="20"/>
                <w:szCs w:val="20"/>
              </w:rPr>
              <w:t xml:space="preserve">CALCULATION</w:t>
            </w:r>
          </w:p>
        </w:tc>
      </w:tr>
      <w:tr>
        <w:tc>
          <w:tcPr>
            <w:tcW w:type="dxa" w:w="4680"/>
            <w:tcBorders>
              <w:top w:val="single" w:color="CCCCCC" w:sz="1"/>
              <w:left w:val="single" w:color="CCCCCC" w:sz="1"/>
              <w:bottom w:val="single" w:color="CCCCCC" w:sz="1"/>
              <w:right w:val="single" w:color="CCCCCC" w:sz="1"/>
            </w:tcBorders>
            <w:shd w:fill="F8FBFF" w:val="clear"/>
            <w:tcMar>
              <w:top w:type="dxa" w:w="90"/>
              <w:left w:type="dxa" w:w="140"/>
              <w:bottom w:type="dxa" w:w="90"/>
              <w:right w:type="dxa" w:w="140"/>
            </w:tcMar>
          </w:tcPr>
          <w:p>
            <w:pPr>
              <w:spacing w:after="80" w:before="80"/>
              <w:jc w:val="left"/>
            </w:pPr>
            <w:r>
              <w:rPr>
                <w:rFonts w:ascii="Arial" w:cs="Arial" w:eastAsia="Arial" w:hAnsi="Arial"/>
                <w:b w:val="false"/>
                <w:bCs w:val="false"/>
                <w:i w:val="false"/>
                <w:iCs w:val="false"/>
                <w:color w:val="2D2D2D"/>
                <w:sz w:val="20"/>
                <w:szCs w:val="20"/>
              </w:rPr>
              <w:t xml:space="preserve">Cisco has 500 customers each paying $2,000/year for Webex</w:t>
            </w:r>
          </w:p>
        </w:tc>
        <w:tc>
          <w:tcPr>
            <w:tcW w:type="dxa" w:w="4680"/>
            <w:tcBorders>
              <w:top w:val="single" w:color="CCCCCC" w:sz="1"/>
              <w:left w:val="single" w:color="CCCCCC" w:sz="1"/>
              <w:bottom w:val="single" w:color="CCCCCC" w:sz="1"/>
              <w:right w:val="single" w:color="CCCCCC" w:sz="1"/>
            </w:tcBorders>
            <w:shd w:fill="E8F8F5" w:val="clear"/>
            <w:tcMar>
              <w:top w:type="dxa" w:w="90"/>
              <w:left w:type="dxa" w:w="140"/>
              <w:bottom w:type="dxa" w:w="90"/>
              <w:right w:type="dxa" w:w="140"/>
            </w:tcMar>
          </w:tcPr>
          <w:p>
            <w:pPr>
              <w:spacing w:after="80" w:before="80"/>
              <w:jc w:val="left"/>
            </w:pPr>
            <w:r>
              <w:rPr>
                <w:rFonts w:ascii="Arial" w:cs="Arial" w:eastAsia="Arial" w:hAnsi="Arial"/>
                <w:b/>
                <w:bCs/>
                <w:i w:val="false"/>
                <w:iCs w:val="false"/>
                <w:color w:val="1A7040"/>
                <w:sz w:val="20"/>
                <w:szCs w:val="20"/>
              </w:rPr>
              <w:t xml:space="preserve">ARR = 500 × $2,000 = $1,000,000</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80" w:before="80"/>
              <w:jc w:val="left"/>
            </w:pPr>
            <w:r>
              <w:rPr>
                <w:rFonts w:ascii="Arial" w:cs="Arial" w:eastAsia="Arial" w:hAnsi="Arial"/>
                <w:b w:val="false"/>
                <w:bCs w:val="false"/>
                <w:i w:val="false"/>
                <w:iCs w:val="false"/>
                <w:color w:val="2D2D2D"/>
                <w:sz w:val="20"/>
                <w:szCs w:val="20"/>
              </w:rPr>
              <w:t xml:space="preserve">A customer pays $5,000/month for Cisco Umbrella</w:t>
            </w:r>
          </w:p>
        </w:tc>
        <w:tc>
          <w:tcPr>
            <w:tcW w:type="dxa" w:w="4680"/>
            <w:tcBorders>
              <w:top w:val="single" w:color="CCCCCC" w:sz="1"/>
              <w:left w:val="single" w:color="CCCCCC" w:sz="1"/>
              <w:bottom w:val="single" w:color="CCCCCC" w:sz="1"/>
              <w:right w:val="single" w:color="CCCCCC" w:sz="1"/>
            </w:tcBorders>
            <w:shd w:fill="F0FFF9" w:val="clear"/>
            <w:tcMar>
              <w:top w:type="dxa" w:w="90"/>
              <w:left w:type="dxa" w:w="140"/>
              <w:bottom w:type="dxa" w:w="90"/>
              <w:right w:type="dxa" w:w="140"/>
            </w:tcMar>
          </w:tcPr>
          <w:p>
            <w:pPr>
              <w:spacing w:after="80" w:before="80"/>
              <w:jc w:val="left"/>
            </w:pPr>
            <w:r>
              <w:rPr>
                <w:rFonts w:ascii="Arial" w:cs="Arial" w:eastAsia="Arial" w:hAnsi="Arial"/>
                <w:b/>
                <w:bCs/>
                <w:i w:val="false"/>
                <w:iCs w:val="false"/>
                <w:color w:val="1A7040"/>
                <w:sz w:val="20"/>
                <w:szCs w:val="20"/>
              </w:rPr>
              <w:t xml:space="preserve">ARR = $5,000 × 12 = $60,000</w:t>
            </w:r>
          </w:p>
        </w:tc>
      </w:tr>
      <w:tr>
        <w:tc>
          <w:tcPr>
            <w:tcW w:type="dxa" w:w="4680"/>
            <w:tcBorders>
              <w:top w:val="single" w:color="CCCCCC" w:sz="1"/>
              <w:left w:val="single" w:color="CCCCCC" w:sz="1"/>
              <w:bottom w:val="single" w:color="CCCCCC" w:sz="1"/>
              <w:right w:val="single" w:color="CCCCCC" w:sz="1"/>
            </w:tcBorders>
            <w:shd w:fill="F8FBFF" w:val="clear"/>
            <w:tcMar>
              <w:top w:type="dxa" w:w="90"/>
              <w:left w:type="dxa" w:w="140"/>
              <w:bottom w:type="dxa" w:w="90"/>
              <w:right w:type="dxa" w:w="140"/>
            </w:tcMar>
          </w:tcPr>
          <w:p>
            <w:pPr>
              <w:spacing w:after="80" w:before="80"/>
              <w:jc w:val="left"/>
            </w:pPr>
            <w:r>
              <w:rPr>
                <w:rFonts w:ascii="Arial" w:cs="Arial" w:eastAsia="Arial" w:hAnsi="Arial"/>
                <w:b w:val="false"/>
                <w:bCs w:val="false"/>
                <w:i w:val="false"/>
                <w:iCs w:val="false"/>
                <w:color w:val="2D2D2D"/>
                <w:sz w:val="20"/>
                <w:szCs w:val="20"/>
              </w:rPr>
              <w:t xml:space="preserve">Customer pays $10,000 setup + $3,000/month subscription</w:t>
            </w:r>
          </w:p>
        </w:tc>
        <w:tc>
          <w:tcPr>
            <w:tcW w:type="dxa" w:w="4680"/>
            <w:tcBorders>
              <w:top w:val="single" w:color="CCCCCC" w:sz="1"/>
              <w:left w:val="single" w:color="CCCCCC" w:sz="1"/>
              <w:bottom w:val="single" w:color="CCCCCC" w:sz="1"/>
              <w:right w:val="single" w:color="CCCCCC" w:sz="1"/>
            </w:tcBorders>
            <w:shd w:fill="E8F8F5" w:val="clear"/>
            <w:tcMar>
              <w:top w:type="dxa" w:w="90"/>
              <w:left w:type="dxa" w:w="140"/>
              <w:bottom w:type="dxa" w:w="90"/>
              <w:right w:type="dxa" w:w="140"/>
            </w:tcMar>
          </w:tcPr>
          <w:p>
            <w:pPr>
              <w:spacing w:after="80" w:before="80"/>
              <w:jc w:val="left"/>
            </w:pPr>
            <w:r>
              <w:rPr>
                <w:rFonts w:ascii="Arial" w:cs="Arial" w:eastAsia="Arial" w:hAnsi="Arial"/>
                <w:b/>
                <w:bCs/>
                <w:i w:val="false"/>
                <w:iCs w:val="false"/>
                <w:color w:val="1A7040"/>
                <w:sz w:val="20"/>
                <w:szCs w:val="20"/>
              </w:rPr>
              <w:t xml:space="preserve">ARR = $3,000 × 12 = $36,000 (setup fee excluded)</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80" w:before="80"/>
              <w:jc w:val="left"/>
            </w:pPr>
            <w:r>
              <w:rPr>
                <w:rFonts w:ascii="Arial" w:cs="Arial" w:eastAsia="Arial" w:hAnsi="Arial"/>
                <w:b w:val="false"/>
                <w:bCs w:val="false"/>
                <w:i w:val="false"/>
                <w:iCs w:val="false"/>
                <w:color w:val="2D2D2D"/>
                <w:sz w:val="20"/>
                <w:szCs w:val="20"/>
              </w:rPr>
              <w:t xml:space="preserve">3-year contract: $120,000 total subscription value</w:t>
            </w:r>
          </w:p>
        </w:tc>
        <w:tc>
          <w:tcPr>
            <w:tcW w:type="dxa" w:w="4680"/>
            <w:tcBorders>
              <w:top w:val="single" w:color="CCCCCC" w:sz="1"/>
              <w:left w:val="single" w:color="CCCCCC" w:sz="1"/>
              <w:bottom w:val="single" w:color="CCCCCC" w:sz="1"/>
              <w:right w:val="single" w:color="CCCCCC" w:sz="1"/>
            </w:tcBorders>
            <w:shd w:fill="F0FFF9" w:val="clear"/>
            <w:tcMar>
              <w:top w:type="dxa" w:w="90"/>
              <w:left w:type="dxa" w:w="140"/>
              <w:bottom w:type="dxa" w:w="90"/>
              <w:right w:type="dxa" w:w="140"/>
            </w:tcMar>
          </w:tcPr>
          <w:p>
            <w:pPr>
              <w:spacing w:after="80" w:before="80"/>
              <w:jc w:val="left"/>
            </w:pPr>
            <w:r>
              <w:rPr>
                <w:rFonts w:ascii="Arial" w:cs="Arial" w:eastAsia="Arial" w:hAnsi="Arial"/>
                <w:b/>
                <w:bCs/>
                <w:i w:val="false"/>
                <w:iCs w:val="false"/>
                <w:color w:val="1A7040"/>
                <w:sz w:val="20"/>
                <w:szCs w:val="20"/>
              </w:rPr>
              <w:t xml:space="preserve">ARR = $120,000 ÷ 3 = $40,000 per year</w:t>
            </w:r>
          </w:p>
        </w:tc>
      </w:tr>
    </w:tbl>
    <w:p>
      <w:pPr>
        <w:spacing w:after="0" w:before="140"/>
        <w:jc w:val="left"/>
      </w:pPr>
      <w:r>
        <w:rPr>
          <w:rFonts w:ascii="Arial" w:cs="Arial" w:eastAsia="Arial" w:hAnsi="Arial"/>
          <w:b w:val="false"/>
          <w:bCs w:val="false"/>
          <w:i w:val="false"/>
          <w:iCs w:val="false"/>
          <w:color w:val="2D2D2D"/>
          <w:sz w:val="22"/>
          <w:szCs w:val="22"/>
        </w:rPr>
        <w:t xml:space="preserve"/>
      </w:r>
    </w:p>
    <w:p>
      <w:pPr>
        <w:pStyle w:val="Heading2"/>
        <w:spacing w:after="100" w:before="280"/>
        <w:jc w:val="left"/>
      </w:pPr>
      <w:r>
        <w:rPr>
          <w:rFonts w:ascii="Arial" w:cs="Arial" w:eastAsia="Arial" w:hAnsi="Arial"/>
          <w:b/>
          <w:bCs/>
          <w:i w:val="false"/>
          <w:iCs w:val="false"/>
          <w:color w:val="2E75B6"/>
          <w:sz w:val="27"/>
          <w:szCs w:val="27"/>
        </w:rPr>
        <w:t xml:space="preserve">2.2  Monthly Recurring Revenue (MRR)</w:t>
      </w:r>
    </w:p>
    <w:p>
      <w:pPr>
        <w:spacing w:after="60" w:before="60"/>
        <w:jc w:val="left"/>
      </w:pPr>
      <w:r>
        <w:rPr>
          <w:rFonts w:ascii="Arial" w:cs="Arial" w:eastAsia="Arial" w:hAnsi="Arial"/>
          <w:b w:val="false"/>
          <w:bCs w:val="false"/>
          <w:i w:val="false"/>
          <w:iCs w:val="false"/>
          <w:color w:val="2D2D2D"/>
          <w:sz w:val="22"/>
          <w:szCs w:val="22"/>
        </w:rPr>
        <w:t xml:space="preserve">MRR is the recurring revenue generated in a single month. It is the monthly equivalent of ARR and is especially useful for tracking short-term trends, month-over-month growth, and the immediate impact of new bookings, expansions, and churn.</w:t>
      </w:r>
    </w:p>
    <w:p>
      <w:pPr>
        <w:spacing w:after="0" w:before="8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3"/>
              <w:left w:val="single" w:color="1F4E79" w:sz="3"/>
              <w:bottom w:val="single" w:color="1F4E79" w:sz="3"/>
              <w:right w:val="single" w:color="1F4E79" w:sz="3"/>
            </w:tcBorders>
            <w:shd w:fill="1A7040"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FORMULA</w:t>
            </w:r>
          </w:p>
        </w:tc>
        <w:tc>
          <w:tcPr>
            <w:tcW w:type="dxa" w:w="7160"/>
            <w:tcBorders>
              <w:top w:val="single" w:color="1F4E79" w:sz="3"/>
              <w:left w:val="single" w:color="1F4E79" w:sz="3"/>
              <w:bottom w:val="single" w:color="1F4E79" w:sz="3"/>
              <w:right w:val="single" w:color="1F4E79" w:sz="3"/>
            </w:tcBorders>
            <w:shd w:fill="E9F7EF" w:val="clear"/>
            <w:tcMar>
              <w:top w:type="dxa" w:w="100"/>
              <w:left w:type="dxa" w:w="180"/>
              <w:bottom w:type="dxa" w:w="100"/>
              <w:right w:type="dxa" w:w="140"/>
            </w:tcMar>
          </w:tcPr>
          <w:p>
            <w:pPr>
              <w:spacing w:after="80" w:before="80"/>
              <w:jc w:val="left"/>
            </w:pPr>
            <w:r>
              <w:rPr>
                <w:rFonts w:ascii="Arial" w:cs="Arial" w:eastAsia="Arial" w:hAnsi="Arial"/>
                <w:b/>
                <w:bCs/>
                <w:i w:val="false"/>
                <w:iCs w:val="false"/>
                <w:color w:val="1A7040"/>
                <w:sz w:val="24"/>
                <w:szCs w:val="24"/>
              </w:rPr>
              <w:t xml:space="preserve">MRR  =  ARR  ÷  12      OR      MRR  =  Sum of all monthly subscription fees</w:t>
            </w:r>
          </w:p>
        </w:tc>
      </w:tr>
    </w:tbl>
    <w:p>
      <w:pPr>
        <w:spacing w:after="0" w:before="100"/>
        <w:jc w:val="left"/>
      </w:pPr>
      <w:r>
        <w:rPr>
          <w:rFonts w:ascii="Arial" w:cs="Arial" w:eastAsia="Arial" w:hAnsi="Arial"/>
          <w:b w:val="false"/>
          <w:bCs w:val="false"/>
          <w:i w:val="false"/>
          <w:iCs w:val="false"/>
          <w:color w:val="2D2D2D"/>
          <w:sz w:val="22"/>
          <w:szCs w:val="22"/>
        </w:rPr>
        <w:t xml:space="preserve"/>
      </w:r>
    </w:p>
    <w:p>
      <w:pPr>
        <w:pStyle w:val="Heading3"/>
        <w:spacing w:after="80" w:before="200"/>
        <w:jc w:val="left"/>
      </w:pPr>
      <w:r>
        <w:rPr>
          <w:rFonts w:ascii="Arial" w:cs="Arial" w:eastAsia="Arial" w:hAnsi="Arial"/>
          <w:b/>
          <w:bCs/>
          <w:i w:val="false"/>
          <w:iCs w:val="false"/>
          <w:color w:val="1A5276"/>
          <w:sz w:val="23"/>
          <w:szCs w:val="23"/>
        </w:rPr>
        <w:t xml:space="preserve">Types of MRR — Critical for Exam:</w:t>
      </w:r>
    </w:p>
    <w:p>
      <w:pPr>
        <w:spacing w:after="0" w:before="6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1F4E79" w:sz="3"/>
              <w:left w:val="single" w:color="1F4E79" w:sz="3"/>
              <w:bottom w:val="single" w:color="1F4E79" w:sz="3"/>
              <w:right w:val="single" w:color="1F4E79" w:sz="3"/>
            </w:tcBorders>
            <w:shd w:fill="1A7040" w:val="clear"/>
            <w:tcMar>
              <w:top w:type="dxa" w:w="90"/>
              <w:left w:type="dxa" w:w="120"/>
              <w:bottom w:type="dxa" w:w="90"/>
              <w:right w:type="dxa" w:w="120"/>
            </w:tcMar>
          </w:tcPr>
          <w:p>
            <w:pPr>
              <w:spacing w:after="80" w:before="80"/>
              <w:jc w:val="center"/>
            </w:pPr>
            <w:r>
              <w:rPr>
                <w:rFonts w:ascii="Arial" w:cs="Arial" w:eastAsia="Arial" w:hAnsi="Arial"/>
                <w:b/>
                <w:bCs/>
                <w:i w:val="false"/>
                <w:iCs w:val="false"/>
                <w:color w:val="FFFFFF"/>
                <w:sz w:val="20"/>
                <w:szCs w:val="20"/>
              </w:rPr>
              <w:t xml:space="preserve">MRR Type</w:t>
            </w:r>
          </w:p>
        </w:tc>
        <w:tc>
          <w:tcPr>
            <w:tcW w:type="dxa" w:w="3780"/>
            <w:tcBorders>
              <w:top w:val="single" w:color="1F4E79" w:sz="3"/>
              <w:left w:val="single" w:color="1F4E79" w:sz="3"/>
              <w:bottom w:val="single" w:color="1F4E79" w:sz="3"/>
              <w:right w:val="single" w:color="1F4E79" w:sz="3"/>
            </w:tcBorders>
            <w:shd w:fill="1A7040" w:val="clear"/>
            <w:tcMar>
              <w:top w:type="dxa" w:w="90"/>
              <w:left w:type="dxa" w:w="140"/>
              <w:bottom w:type="dxa" w:w="90"/>
              <w:right w:type="dxa" w:w="140"/>
            </w:tcMar>
          </w:tcPr>
          <w:p>
            <w:pPr>
              <w:spacing w:after="80" w:before="80"/>
              <w:jc w:val="left"/>
            </w:pPr>
            <w:r>
              <w:rPr>
                <w:rFonts w:ascii="Arial" w:cs="Arial" w:eastAsia="Arial" w:hAnsi="Arial"/>
                <w:b/>
                <w:bCs/>
                <w:i w:val="false"/>
                <w:iCs w:val="false"/>
                <w:color w:val="FFFFFF"/>
                <w:sz w:val="20"/>
                <w:szCs w:val="20"/>
              </w:rPr>
              <w:t xml:space="preserve">Definition</w:t>
            </w:r>
          </w:p>
        </w:tc>
        <w:tc>
          <w:tcPr>
            <w:tcW w:type="dxa" w:w="3780"/>
            <w:tcBorders>
              <w:top w:val="single" w:color="1F4E79" w:sz="3"/>
              <w:left w:val="single" w:color="1F4E79" w:sz="3"/>
              <w:bottom w:val="single" w:color="1F4E79" w:sz="3"/>
              <w:right w:val="single" w:color="1F4E79" w:sz="3"/>
            </w:tcBorders>
            <w:shd w:fill="1A7040" w:val="clear"/>
            <w:tcMar>
              <w:top w:type="dxa" w:w="90"/>
              <w:left w:type="dxa" w:w="140"/>
              <w:bottom w:type="dxa" w:w="90"/>
              <w:right w:type="dxa" w:w="140"/>
            </w:tcMar>
          </w:tcPr>
          <w:p>
            <w:pPr>
              <w:spacing w:after="80" w:before="80"/>
              <w:jc w:val="left"/>
            </w:pPr>
            <w:r>
              <w:rPr>
                <w:rFonts w:ascii="Arial" w:cs="Arial" w:eastAsia="Arial" w:hAnsi="Arial"/>
                <w:b/>
                <w:bCs/>
                <w:i w:val="false"/>
                <w:iCs w:val="false"/>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E9F7EF" w:val="clear"/>
            <w:tcMar>
              <w:top w:type="dxa" w:w="85"/>
              <w:left w:type="dxa" w:w="120"/>
              <w:bottom w:type="dxa" w:w="85"/>
              <w:right w:type="dxa" w:w="120"/>
            </w:tcMar>
          </w:tcPr>
          <w:p>
            <w:pPr>
              <w:spacing w:after="80" w:before="80"/>
              <w:jc w:val="left"/>
            </w:pPr>
            <w:r>
              <w:rPr>
                <w:rFonts w:ascii="Arial" w:cs="Arial" w:eastAsia="Arial" w:hAnsi="Arial"/>
                <w:b/>
                <w:bCs/>
                <w:i w:val="false"/>
                <w:iCs w:val="false"/>
                <w:color w:val="1A7040"/>
                <w:sz w:val="20"/>
                <w:szCs w:val="20"/>
              </w:rPr>
              <w:t xml:space="preserve">New MRR</w:t>
            </w:r>
          </w:p>
        </w:tc>
        <w:tc>
          <w:tcPr>
            <w:tcW w:type="dxa" w:w="3780"/>
            <w:tcBorders>
              <w:top w:val="single" w:color="CCCCCC" w:sz="1"/>
              <w:left w:val="single" w:color="CCCCCC" w:sz="1"/>
              <w:bottom w:val="single" w:color="CCCCCC" w:sz="1"/>
              <w:right w:val="single" w:color="CCCCCC" w:sz="1"/>
            </w:tcBorders>
            <w:shd w:fill="FAFAFA" w:val="clear"/>
            <w:tcMar>
              <w:top w:type="dxa" w:w="85"/>
              <w:left w:type="dxa" w:w="140"/>
              <w:bottom w:type="dxa" w:w="85"/>
              <w:right w:type="dxa" w:w="140"/>
            </w:tcMar>
          </w:tcPr>
          <w:p>
            <w:pPr>
              <w:spacing w:after="80" w:before="80"/>
              <w:jc w:val="left"/>
            </w:pPr>
            <w:r>
              <w:rPr>
                <w:rFonts w:ascii="Arial" w:cs="Arial" w:eastAsia="Arial" w:hAnsi="Arial"/>
                <w:b w:val="false"/>
                <w:bCs w:val="false"/>
                <w:i w:val="false"/>
                <w:iCs w:val="false"/>
                <w:color w:val="2D2D2D"/>
                <w:sz w:val="20"/>
                <w:szCs w:val="20"/>
              </w:rPr>
              <w:t xml:space="preserve">MRR from brand new customers acquired this month</w:t>
            </w:r>
          </w:p>
        </w:tc>
        <w:tc>
          <w:tcPr>
            <w:tcW w:type="dxa" w:w="3780"/>
            <w:tcBorders>
              <w:top w:val="single" w:color="CCCCCC" w:sz="1"/>
              <w:left w:val="single" w:color="CCCCCC" w:sz="1"/>
              <w:bottom w:val="single" w:color="CCCCCC" w:sz="1"/>
              <w:right w:val="single" w:color="CCCCCC" w:sz="1"/>
            </w:tcBorders>
            <w:shd w:fill="F0F7FF" w:val="clear"/>
            <w:tcMar>
              <w:top w:type="dxa" w:w="85"/>
              <w:left w:type="dxa" w:w="140"/>
              <w:bottom w:type="dxa" w:w="85"/>
              <w:right w:type="dxa" w:w="140"/>
            </w:tcMar>
          </w:tcPr>
          <w:p>
            <w:pPr>
              <w:spacing w:after="80" w:before="80"/>
              <w:jc w:val="left"/>
            </w:pPr>
            <w:r>
              <w:rPr>
                <w:rFonts w:ascii="Arial" w:cs="Arial" w:eastAsia="Arial" w:hAnsi="Arial"/>
                <w:b w:val="false"/>
                <w:bCs w:val="false"/>
                <w:i/>
                <w:iCs/>
                <w:color w:val="1A5276"/>
                <w:sz w:val="20"/>
                <w:szCs w:val="20"/>
              </w:rPr>
              <w:t xml:space="preserve">5 new customers @ $500/mo = +$2,500 New MRR</w:t>
            </w:r>
          </w:p>
        </w:tc>
      </w:tr>
      <w:tr>
        <w:tc>
          <w:tcPr>
            <w:tcW w:type="dxa" w:w="1800"/>
            <w:tcBorders>
              <w:top w:val="single" w:color="CCCCCC" w:sz="1"/>
              <w:left w:val="single" w:color="CCCCCC" w:sz="1"/>
              <w:bottom w:val="single" w:color="CCCCCC" w:sz="1"/>
              <w:right w:val="single" w:color="CCCCCC" w:sz="1"/>
            </w:tcBorders>
            <w:shd w:fill="F0FFF6" w:val="clear"/>
            <w:tcMar>
              <w:top w:type="dxa" w:w="85"/>
              <w:left w:type="dxa" w:w="120"/>
              <w:bottom w:type="dxa" w:w="85"/>
              <w:right w:type="dxa" w:w="120"/>
            </w:tcMar>
          </w:tcPr>
          <w:p>
            <w:pPr>
              <w:spacing w:after="80" w:before="80"/>
              <w:jc w:val="left"/>
            </w:pPr>
            <w:r>
              <w:rPr>
                <w:rFonts w:ascii="Arial" w:cs="Arial" w:eastAsia="Arial" w:hAnsi="Arial"/>
                <w:b/>
                <w:bCs/>
                <w:i w:val="false"/>
                <w:iCs w:val="false"/>
                <w:color w:val="1A7040"/>
                <w:sz w:val="20"/>
                <w:szCs w:val="20"/>
              </w:rPr>
              <w:t xml:space="preserve">Expansion MRR</w:t>
            </w:r>
          </w:p>
        </w:tc>
        <w:tc>
          <w:tcPr>
            <w:tcW w:type="dxa" w:w="3780"/>
            <w:tcBorders>
              <w:top w:val="single" w:color="CCCCCC" w:sz="1"/>
              <w:left w:val="single" w:color="CCCCCC" w:sz="1"/>
              <w:bottom w:val="single" w:color="CCCCCC" w:sz="1"/>
              <w:right w:val="single" w:color="CCCCCC" w:sz="1"/>
            </w:tcBorders>
            <w:shd w:fill="FFFFFF" w:val="clear"/>
            <w:tcMar>
              <w:top w:type="dxa" w:w="85"/>
              <w:left w:type="dxa" w:w="140"/>
              <w:bottom w:type="dxa" w:w="85"/>
              <w:right w:type="dxa" w:w="140"/>
            </w:tcMar>
          </w:tcPr>
          <w:p>
            <w:pPr>
              <w:spacing w:after="80" w:before="80"/>
              <w:jc w:val="left"/>
            </w:pPr>
            <w:r>
              <w:rPr>
                <w:rFonts w:ascii="Arial" w:cs="Arial" w:eastAsia="Arial" w:hAnsi="Arial"/>
                <w:b w:val="false"/>
                <w:bCs w:val="false"/>
                <w:i w:val="false"/>
                <w:iCs w:val="false"/>
                <w:color w:val="2D2D2D"/>
                <w:sz w:val="20"/>
                <w:szCs w:val="20"/>
              </w:rPr>
              <w:t xml:space="preserve">MRR from existing customers adding more users/features</w:t>
            </w:r>
          </w:p>
        </w:tc>
        <w:tc>
          <w:tcPr>
            <w:tcW w:type="dxa" w:w="3780"/>
            <w:tcBorders>
              <w:top w:val="single" w:color="CCCCCC" w:sz="1"/>
              <w:left w:val="single" w:color="CCCCCC" w:sz="1"/>
              <w:bottom w:val="single" w:color="CCCCCC" w:sz="1"/>
              <w:right w:val="single" w:color="CCCCCC" w:sz="1"/>
            </w:tcBorders>
            <w:shd w:fill="F7FBFF" w:val="clear"/>
            <w:tcMar>
              <w:top w:type="dxa" w:w="85"/>
              <w:left w:type="dxa" w:w="140"/>
              <w:bottom w:type="dxa" w:w="85"/>
              <w:right w:type="dxa" w:w="140"/>
            </w:tcMar>
          </w:tcPr>
          <w:p>
            <w:pPr>
              <w:spacing w:after="80" w:before="80"/>
              <w:jc w:val="left"/>
            </w:pPr>
            <w:r>
              <w:rPr>
                <w:rFonts w:ascii="Arial" w:cs="Arial" w:eastAsia="Arial" w:hAnsi="Arial"/>
                <w:b w:val="false"/>
                <w:bCs w:val="false"/>
                <w:i/>
                <w:iCs/>
                <w:color w:val="1A5276"/>
                <w:sz w:val="20"/>
                <w:szCs w:val="20"/>
              </w:rPr>
              <w:t xml:space="preserve">Customer upgrades: $1,000 → $1,500/mo = +$500 Expansion MRR</w:t>
            </w:r>
          </w:p>
        </w:tc>
      </w:tr>
      <w:tr>
        <w:tc>
          <w:tcPr>
            <w:tcW w:type="dxa" w:w="1800"/>
            <w:tcBorders>
              <w:top w:val="single" w:color="CCCCCC" w:sz="1"/>
              <w:left w:val="single" w:color="CCCCCC" w:sz="1"/>
              <w:bottom w:val="single" w:color="CCCCCC" w:sz="1"/>
              <w:right w:val="single" w:color="CCCCCC" w:sz="1"/>
            </w:tcBorders>
            <w:shd w:fill="E9F7EF" w:val="clear"/>
            <w:tcMar>
              <w:top w:type="dxa" w:w="85"/>
              <w:left w:type="dxa" w:w="120"/>
              <w:bottom w:type="dxa" w:w="85"/>
              <w:right w:type="dxa" w:w="120"/>
            </w:tcMar>
          </w:tcPr>
          <w:p>
            <w:pPr>
              <w:spacing w:after="80" w:before="80"/>
              <w:jc w:val="left"/>
            </w:pPr>
            <w:r>
              <w:rPr>
                <w:rFonts w:ascii="Arial" w:cs="Arial" w:eastAsia="Arial" w:hAnsi="Arial"/>
                <w:b/>
                <w:bCs/>
                <w:i w:val="false"/>
                <w:iCs w:val="false"/>
                <w:color w:val="1A7040"/>
                <w:sz w:val="20"/>
                <w:szCs w:val="20"/>
              </w:rPr>
              <w:t xml:space="preserve">Churned MRR</w:t>
            </w:r>
          </w:p>
        </w:tc>
        <w:tc>
          <w:tcPr>
            <w:tcW w:type="dxa" w:w="3780"/>
            <w:tcBorders>
              <w:top w:val="single" w:color="CCCCCC" w:sz="1"/>
              <w:left w:val="single" w:color="CCCCCC" w:sz="1"/>
              <w:bottom w:val="single" w:color="CCCCCC" w:sz="1"/>
              <w:right w:val="single" w:color="CCCCCC" w:sz="1"/>
            </w:tcBorders>
            <w:shd w:fill="FAFAFA" w:val="clear"/>
            <w:tcMar>
              <w:top w:type="dxa" w:w="85"/>
              <w:left w:type="dxa" w:w="140"/>
              <w:bottom w:type="dxa" w:w="85"/>
              <w:right w:type="dxa" w:w="140"/>
            </w:tcMar>
          </w:tcPr>
          <w:p>
            <w:pPr>
              <w:spacing w:after="80" w:before="80"/>
              <w:jc w:val="left"/>
            </w:pPr>
            <w:r>
              <w:rPr>
                <w:rFonts w:ascii="Arial" w:cs="Arial" w:eastAsia="Arial" w:hAnsi="Arial"/>
                <w:b w:val="false"/>
                <w:bCs w:val="false"/>
                <w:i w:val="false"/>
                <w:iCs w:val="false"/>
                <w:color w:val="2D2D2D"/>
                <w:sz w:val="20"/>
                <w:szCs w:val="20"/>
              </w:rPr>
              <w:t xml:space="preserve">MRR lost from customers who cancelled</w:t>
            </w:r>
          </w:p>
        </w:tc>
        <w:tc>
          <w:tcPr>
            <w:tcW w:type="dxa" w:w="3780"/>
            <w:tcBorders>
              <w:top w:val="single" w:color="CCCCCC" w:sz="1"/>
              <w:left w:val="single" w:color="CCCCCC" w:sz="1"/>
              <w:bottom w:val="single" w:color="CCCCCC" w:sz="1"/>
              <w:right w:val="single" w:color="CCCCCC" w:sz="1"/>
            </w:tcBorders>
            <w:shd w:fill="F0F7FF" w:val="clear"/>
            <w:tcMar>
              <w:top w:type="dxa" w:w="85"/>
              <w:left w:type="dxa" w:w="140"/>
              <w:bottom w:type="dxa" w:w="85"/>
              <w:right w:type="dxa" w:w="140"/>
            </w:tcMar>
          </w:tcPr>
          <w:p>
            <w:pPr>
              <w:spacing w:after="80" w:before="80"/>
              <w:jc w:val="left"/>
            </w:pPr>
            <w:r>
              <w:rPr>
                <w:rFonts w:ascii="Arial" w:cs="Arial" w:eastAsia="Arial" w:hAnsi="Arial"/>
                <w:b w:val="false"/>
                <w:bCs w:val="false"/>
                <w:i/>
                <w:iCs/>
                <w:color w:val="1A5276"/>
                <w:sz w:val="20"/>
                <w:szCs w:val="20"/>
              </w:rPr>
              <w:t xml:space="preserve">Customer cancels $800/mo plan = -$800 Churned MRR</w:t>
            </w:r>
          </w:p>
        </w:tc>
      </w:tr>
      <w:tr>
        <w:tc>
          <w:tcPr>
            <w:tcW w:type="dxa" w:w="1800"/>
            <w:tcBorders>
              <w:top w:val="single" w:color="CCCCCC" w:sz="1"/>
              <w:left w:val="single" w:color="CCCCCC" w:sz="1"/>
              <w:bottom w:val="single" w:color="CCCCCC" w:sz="1"/>
              <w:right w:val="single" w:color="CCCCCC" w:sz="1"/>
            </w:tcBorders>
            <w:shd w:fill="F0FFF6" w:val="clear"/>
            <w:tcMar>
              <w:top w:type="dxa" w:w="85"/>
              <w:left w:type="dxa" w:w="120"/>
              <w:bottom w:type="dxa" w:w="85"/>
              <w:right w:type="dxa" w:w="120"/>
            </w:tcMar>
          </w:tcPr>
          <w:p>
            <w:pPr>
              <w:spacing w:after="80" w:before="80"/>
              <w:jc w:val="left"/>
            </w:pPr>
            <w:r>
              <w:rPr>
                <w:rFonts w:ascii="Arial" w:cs="Arial" w:eastAsia="Arial" w:hAnsi="Arial"/>
                <w:b/>
                <w:bCs/>
                <w:i w:val="false"/>
                <w:iCs w:val="false"/>
                <w:color w:val="1A7040"/>
                <w:sz w:val="20"/>
                <w:szCs w:val="20"/>
              </w:rPr>
              <w:t xml:space="preserve">Contraction MRR</w:t>
            </w:r>
          </w:p>
        </w:tc>
        <w:tc>
          <w:tcPr>
            <w:tcW w:type="dxa" w:w="3780"/>
            <w:tcBorders>
              <w:top w:val="single" w:color="CCCCCC" w:sz="1"/>
              <w:left w:val="single" w:color="CCCCCC" w:sz="1"/>
              <w:bottom w:val="single" w:color="CCCCCC" w:sz="1"/>
              <w:right w:val="single" w:color="CCCCCC" w:sz="1"/>
            </w:tcBorders>
            <w:shd w:fill="FFFFFF" w:val="clear"/>
            <w:tcMar>
              <w:top w:type="dxa" w:w="85"/>
              <w:left w:type="dxa" w:w="140"/>
              <w:bottom w:type="dxa" w:w="85"/>
              <w:right w:type="dxa" w:w="140"/>
            </w:tcMar>
          </w:tcPr>
          <w:p>
            <w:pPr>
              <w:spacing w:after="80" w:before="80"/>
              <w:jc w:val="left"/>
            </w:pPr>
            <w:r>
              <w:rPr>
                <w:rFonts w:ascii="Arial" w:cs="Arial" w:eastAsia="Arial" w:hAnsi="Arial"/>
                <w:b w:val="false"/>
                <w:bCs w:val="false"/>
                <w:i w:val="false"/>
                <w:iCs w:val="false"/>
                <w:color w:val="2D2D2D"/>
                <w:sz w:val="20"/>
                <w:szCs w:val="20"/>
              </w:rPr>
              <w:t xml:space="preserve">MRR lost from customers who downgraded</w:t>
            </w:r>
          </w:p>
        </w:tc>
        <w:tc>
          <w:tcPr>
            <w:tcW w:type="dxa" w:w="3780"/>
            <w:tcBorders>
              <w:top w:val="single" w:color="CCCCCC" w:sz="1"/>
              <w:left w:val="single" w:color="CCCCCC" w:sz="1"/>
              <w:bottom w:val="single" w:color="CCCCCC" w:sz="1"/>
              <w:right w:val="single" w:color="CCCCCC" w:sz="1"/>
            </w:tcBorders>
            <w:shd w:fill="F7FBFF" w:val="clear"/>
            <w:tcMar>
              <w:top w:type="dxa" w:w="85"/>
              <w:left w:type="dxa" w:w="140"/>
              <w:bottom w:type="dxa" w:w="85"/>
              <w:right w:type="dxa" w:w="140"/>
            </w:tcMar>
          </w:tcPr>
          <w:p>
            <w:pPr>
              <w:spacing w:after="80" w:before="80"/>
              <w:jc w:val="left"/>
            </w:pPr>
            <w:r>
              <w:rPr>
                <w:rFonts w:ascii="Arial" w:cs="Arial" w:eastAsia="Arial" w:hAnsi="Arial"/>
                <w:b w:val="false"/>
                <w:bCs w:val="false"/>
                <w:i/>
                <w:iCs/>
                <w:color w:val="1A5276"/>
                <w:sz w:val="20"/>
                <w:szCs w:val="20"/>
              </w:rPr>
              <w:t xml:space="preserve">Customer downgrades: $1,200 → $900/mo = -$300 Contraction MRR</w:t>
            </w:r>
          </w:p>
        </w:tc>
      </w:tr>
      <w:tr>
        <w:tc>
          <w:tcPr>
            <w:tcW w:type="dxa" w:w="1800"/>
            <w:tcBorders>
              <w:top w:val="single" w:color="CCCCCC" w:sz="1"/>
              <w:left w:val="single" w:color="CCCCCC" w:sz="1"/>
              <w:bottom w:val="single" w:color="CCCCCC" w:sz="1"/>
              <w:right w:val="single" w:color="CCCCCC" w:sz="1"/>
            </w:tcBorders>
            <w:shd w:fill="E9F7EF" w:val="clear"/>
            <w:tcMar>
              <w:top w:type="dxa" w:w="85"/>
              <w:left w:type="dxa" w:w="120"/>
              <w:bottom w:type="dxa" w:w="85"/>
              <w:right w:type="dxa" w:w="120"/>
            </w:tcMar>
          </w:tcPr>
          <w:p>
            <w:pPr>
              <w:spacing w:after="80" w:before="80"/>
              <w:jc w:val="left"/>
            </w:pPr>
            <w:r>
              <w:rPr>
                <w:rFonts w:ascii="Arial" w:cs="Arial" w:eastAsia="Arial" w:hAnsi="Arial"/>
                <w:b/>
                <w:bCs/>
                <w:i w:val="false"/>
                <w:iCs w:val="false"/>
                <w:color w:val="1A7040"/>
                <w:sz w:val="20"/>
                <w:szCs w:val="20"/>
              </w:rPr>
              <w:t xml:space="preserve">Reactivation MRR</w:t>
            </w:r>
          </w:p>
        </w:tc>
        <w:tc>
          <w:tcPr>
            <w:tcW w:type="dxa" w:w="3780"/>
            <w:tcBorders>
              <w:top w:val="single" w:color="CCCCCC" w:sz="1"/>
              <w:left w:val="single" w:color="CCCCCC" w:sz="1"/>
              <w:bottom w:val="single" w:color="CCCCCC" w:sz="1"/>
              <w:right w:val="single" w:color="CCCCCC" w:sz="1"/>
            </w:tcBorders>
            <w:shd w:fill="FAFAFA" w:val="clear"/>
            <w:tcMar>
              <w:top w:type="dxa" w:w="85"/>
              <w:left w:type="dxa" w:w="140"/>
              <w:bottom w:type="dxa" w:w="85"/>
              <w:right w:type="dxa" w:w="140"/>
            </w:tcMar>
          </w:tcPr>
          <w:p>
            <w:pPr>
              <w:spacing w:after="80" w:before="80"/>
              <w:jc w:val="left"/>
            </w:pPr>
            <w:r>
              <w:rPr>
                <w:rFonts w:ascii="Arial" w:cs="Arial" w:eastAsia="Arial" w:hAnsi="Arial"/>
                <w:b w:val="false"/>
                <w:bCs w:val="false"/>
                <w:i w:val="false"/>
                <w:iCs w:val="false"/>
                <w:color w:val="2D2D2D"/>
                <w:sz w:val="20"/>
                <w:szCs w:val="20"/>
              </w:rPr>
              <w:t xml:space="preserve">MRR from previously churned customers returning</w:t>
            </w:r>
          </w:p>
        </w:tc>
        <w:tc>
          <w:tcPr>
            <w:tcW w:type="dxa" w:w="3780"/>
            <w:tcBorders>
              <w:top w:val="single" w:color="CCCCCC" w:sz="1"/>
              <w:left w:val="single" w:color="CCCCCC" w:sz="1"/>
              <w:bottom w:val="single" w:color="CCCCCC" w:sz="1"/>
              <w:right w:val="single" w:color="CCCCCC" w:sz="1"/>
            </w:tcBorders>
            <w:shd w:fill="F0F7FF" w:val="clear"/>
            <w:tcMar>
              <w:top w:type="dxa" w:w="85"/>
              <w:left w:type="dxa" w:w="140"/>
              <w:bottom w:type="dxa" w:w="85"/>
              <w:right w:type="dxa" w:w="140"/>
            </w:tcMar>
          </w:tcPr>
          <w:p>
            <w:pPr>
              <w:spacing w:after="80" w:before="80"/>
              <w:jc w:val="left"/>
            </w:pPr>
            <w:r>
              <w:rPr>
                <w:rFonts w:ascii="Arial" w:cs="Arial" w:eastAsia="Arial" w:hAnsi="Arial"/>
                <w:b w:val="false"/>
                <w:bCs w:val="false"/>
                <w:i/>
                <w:iCs/>
                <w:color w:val="1A5276"/>
                <w:sz w:val="20"/>
                <w:szCs w:val="20"/>
              </w:rPr>
              <w:t xml:space="preserve">Former customer re-subscribes: +$600 Reactivation MRR</w:t>
            </w:r>
          </w:p>
        </w:tc>
      </w:tr>
      <w:tr>
        <w:tc>
          <w:tcPr>
            <w:tcW w:type="dxa" w:w="1800"/>
            <w:tcBorders>
              <w:top w:val="single" w:color="CCCCCC" w:sz="1"/>
              <w:left w:val="single" w:color="CCCCCC" w:sz="1"/>
              <w:bottom w:val="single" w:color="CCCCCC" w:sz="1"/>
              <w:right w:val="single" w:color="CCCCCC" w:sz="1"/>
            </w:tcBorders>
            <w:shd w:fill="F0FFF6" w:val="clear"/>
            <w:tcMar>
              <w:top w:type="dxa" w:w="85"/>
              <w:left w:type="dxa" w:w="120"/>
              <w:bottom w:type="dxa" w:w="85"/>
              <w:right w:type="dxa" w:w="120"/>
            </w:tcMar>
          </w:tcPr>
          <w:p>
            <w:pPr>
              <w:spacing w:after="80" w:before="80"/>
              <w:jc w:val="left"/>
            </w:pPr>
            <w:r>
              <w:rPr>
                <w:rFonts w:ascii="Arial" w:cs="Arial" w:eastAsia="Arial" w:hAnsi="Arial"/>
                <w:b/>
                <w:bCs/>
                <w:i w:val="false"/>
                <w:iCs w:val="false"/>
                <w:color w:val="1A7040"/>
                <w:sz w:val="20"/>
                <w:szCs w:val="20"/>
              </w:rPr>
              <w:t xml:space="preserve">Net New MRR</w:t>
            </w:r>
          </w:p>
        </w:tc>
        <w:tc>
          <w:tcPr>
            <w:tcW w:type="dxa" w:w="3780"/>
            <w:tcBorders>
              <w:top w:val="single" w:color="CCCCCC" w:sz="1"/>
              <w:left w:val="single" w:color="CCCCCC" w:sz="1"/>
              <w:bottom w:val="single" w:color="CCCCCC" w:sz="1"/>
              <w:right w:val="single" w:color="CCCCCC" w:sz="1"/>
            </w:tcBorders>
            <w:shd w:fill="FFFFFF" w:val="clear"/>
            <w:tcMar>
              <w:top w:type="dxa" w:w="85"/>
              <w:left w:type="dxa" w:w="140"/>
              <w:bottom w:type="dxa" w:w="85"/>
              <w:right w:type="dxa" w:w="140"/>
            </w:tcMar>
          </w:tcPr>
          <w:p>
            <w:pPr>
              <w:spacing w:after="80" w:before="80"/>
              <w:jc w:val="left"/>
            </w:pPr>
            <w:r>
              <w:rPr>
                <w:rFonts w:ascii="Arial" w:cs="Arial" w:eastAsia="Arial" w:hAnsi="Arial"/>
                <w:b w:val="false"/>
                <w:bCs w:val="false"/>
                <w:i w:val="false"/>
                <w:iCs w:val="false"/>
                <w:color w:val="2D2D2D"/>
                <w:sz w:val="20"/>
                <w:szCs w:val="20"/>
              </w:rPr>
              <w:t xml:space="preserve">Total net change in MRR for the month</w:t>
            </w:r>
          </w:p>
        </w:tc>
        <w:tc>
          <w:tcPr>
            <w:tcW w:type="dxa" w:w="3780"/>
            <w:tcBorders>
              <w:top w:val="single" w:color="CCCCCC" w:sz="1"/>
              <w:left w:val="single" w:color="CCCCCC" w:sz="1"/>
              <w:bottom w:val="single" w:color="CCCCCC" w:sz="1"/>
              <w:right w:val="single" w:color="CCCCCC" w:sz="1"/>
            </w:tcBorders>
            <w:shd w:fill="F7FBFF" w:val="clear"/>
            <w:tcMar>
              <w:top w:type="dxa" w:w="85"/>
              <w:left w:type="dxa" w:w="140"/>
              <w:bottom w:type="dxa" w:w="85"/>
              <w:right w:type="dxa" w:w="140"/>
            </w:tcMar>
          </w:tcPr>
          <w:p>
            <w:pPr>
              <w:spacing w:after="80" w:before="80"/>
              <w:jc w:val="left"/>
            </w:pPr>
            <w:r>
              <w:rPr>
                <w:rFonts w:ascii="Arial" w:cs="Arial" w:eastAsia="Arial" w:hAnsi="Arial"/>
                <w:b w:val="false"/>
                <w:bCs w:val="false"/>
                <w:i/>
                <w:iCs/>
                <w:color w:val="1A5276"/>
                <w:sz w:val="20"/>
                <w:szCs w:val="20"/>
              </w:rPr>
              <w:t xml:space="preserve">New + Expansion + Reactivation - Churned - Contraction</w:t>
            </w:r>
          </w:p>
        </w:tc>
      </w:tr>
    </w:tbl>
    <w:p>
      <w:pPr>
        <w:spacing w:after="0" w:before="140"/>
        <w:jc w:val="left"/>
      </w:pPr>
      <w:r>
        <w:rPr>
          <w:rFonts w:ascii="Arial" w:cs="Arial" w:eastAsia="Arial" w:hAnsi="Arial"/>
          <w:b w:val="false"/>
          <w:bCs w:val="false"/>
          <w:i w:val="false"/>
          <w:iCs w:val="false"/>
          <w:color w:val="2D2D2D"/>
          <w:sz w:val="22"/>
          <w:szCs w:val="22"/>
        </w:rPr>
        <w:t xml:space="preserve"/>
      </w:r>
    </w:p>
    <w:p>
      <w:pPr>
        <w:pStyle w:val="Heading2"/>
        <w:spacing w:after="100" w:before="280"/>
        <w:jc w:val="left"/>
      </w:pPr>
      <w:r>
        <w:rPr>
          <w:rFonts w:ascii="Arial" w:cs="Arial" w:eastAsia="Arial" w:hAnsi="Arial"/>
          <w:b/>
          <w:bCs/>
          <w:i w:val="false"/>
          <w:iCs w:val="false"/>
          <w:color w:val="2E75B6"/>
          <w:sz w:val="27"/>
          <w:szCs w:val="27"/>
        </w:rPr>
        <w:t xml:space="preserve">2.3  Total Contract Value (TCV)</w:t>
      </w:r>
    </w:p>
    <w:p>
      <w:pPr>
        <w:spacing w:after="60" w:before="60"/>
        <w:jc w:val="left"/>
      </w:pPr>
      <w:r>
        <w:rPr>
          <w:rFonts w:ascii="Arial" w:cs="Arial" w:eastAsia="Arial" w:hAnsi="Arial"/>
          <w:b w:val="false"/>
          <w:bCs w:val="false"/>
          <w:i w:val="false"/>
          <w:iCs w:val="false"/>
          <w:color w:val="2D2D2D"/>
          <w:sz w:val="22"/>
          <w:szCs w:val="22"/>
        </w:rPr>
        <w:t xml:space="preserve">TCV is the total value of a customer contract over its entire term, including all recurring fees AND one-time fees. Unlike ARR/MRR which focus on recurring revenue only, TCV captures everything the customer has committed to pay.</w:t>
      </w:r>
    </w:p>
    <w:p>
      <w:pPr>
        <w:spacing w:after="0" w:before="8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3"/>
              <w:left w:val="single" w:color="1F4E79" w:sz="3"/>
              <w:bottom w:val="single" w:color="1F4E79" w:sz="3"/>
              <w:right w:val="single" w:color="1F4E79" w:sz="3"/>
            </w:tcBorders>
            <w:shd w:fill="7B3F00"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FORMULA</w:t>
            </w:r>
          </w:p>
        </w:tc>
        <w:tc>
          <w:tcPr>
            <w:tcW w:type="dxa" w:w="7160"/>
            <w:tcBorders>
              <w:top w:val="single" w:color="1F4E79" w:sz="3"/>
              <w:left w:val="single" w:color="1F4E79" w:sz="3"/>
              <w:bottom w:val="single" w:color="1F4E79" w:sz="3"/>
              <w:right w:val="single" w:color="1F4E79" w:sz="3"/>
            </w:tcBorders>
            <w:shd w:fill="FEF0E7" w:val="clear"/>
            <w:tcMar>
              <w:top w:type="dxa" w:w="100"/>
              <w:left w:type="dxa" w:w="180"/>
              <w:bottom w:type="dxa" w:w="100"/>
              <w:right w:type="dxa" w:w="140"/>
            </w:tcMar>
          </w:tcPr>
          <w:p>
            <w:pPr>
              <w:spacing w:after="80" w:before="80"/>
              <w:jc w:val="left"/>
            </w:pPr>
            <w:r>
              <w:rPr>
                <w:rFonts w:ascii="Arial" w:cs="Arial" w:eastAsia="Arial" w:hAnsi="Arial"/>
                <w:b/>
                <w:bCs/>
                <w:i w:val="false"/>
                <w:iCs w:val="false"/>
                <w:color w:val="7B3F00"/>
                <w:sz w:val="24"/>
                <w:szCs w:val="24"/>
              </w:rPr>
              <w:t xml:space="preserve">TCV  =  (MRR × Contract Length in Months)  +  One-Time Fees</w:t>
            </w:r>
          </w:p>
        </w:tc>
      </w:tr>
    </w:tbl>
    <w:p>
      <w:pPr>
        <w:spacing w:after="0" w:before="100"/>
        <w:jc w:val="left"/>
      </w:pPr>
      <w:r>
        <w:rPr>
          <w:rFonts w:ascii="Arial" w:cs="Arial" w:eastAsia="Arial" w:hAnsi="Arial"/>
          <w:b w:val="false"/>
          <w:bCs w:val="false"/>
          <w:i w:val="false"/>
          <w:iCs w:val="false"/>
          <w:color w:val="2D2D2D"/>
          <w:sz w:val="22"/>
          <w:szCs w:val="22"/>
        </w:rPr>
        <w:t xml:space="preserve"/>
      </w:r>
    </w:p>
    <w:p>
      <w:pPr>
        <w:pStyle w:val="Heading3"/>
        <w:spacing w:after="80" w:before="200"/>
        <w:jc w:val="left"/>
      </w:pPr>
      <w:r>
        <w:rPr>
          <w:rFonts w:ascii="Arial" w:cs="Arial" w:eastAsia="Arial" w:hAnsi="Arial"/>
          <w:b/>
          <w:bCs/>
          <w:i w:val="false"/>
          <w:iCs w:val="false"/>
          <w:color w:val="1A5276"/>
          <w:sz w:val="23"/>
          <w:szCs w:val="23"/>
        </w:rPr>
        <w:t xml:space="preserve">TCV Worked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3"/>
              <w:left w:val="single" w:color="1F4E79" w:sz="3"/>
              <w:bottom w:val="single" w:color="1F4E79" w:sz="3"/>
              <w:right w:val="single" w:color="1F4E79" w:sz="3"/>
            </w:tcBorders>
            <w:shd w:fill="7B3F00"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FFFFFF"/>
                <w:sz w:val="20"/>
                <w:szCs w:val="20"/>
              </w:rPr>
              <w:t xml:space="preserve">SCENARIO</w:t>
            </w:r>
          </w:p>
        </w:tc>
        <w:tc>
          <w:tcPr>
            <w:tcW w:type="dxa" w:w="4680"/>
            <w:tcBorders>
              <w:top w:val="single" w:color="1F4E79" w:sz="3"/>
              <w:left w:val="single" w:color="1F4E79" w:sz="3"/>
              <w:bottom w:val="single" w:color="1F4E79" w:sz="3"/>
              <w:right w:val="single" w:color="1F4E79" w:sz="3"/>
            </w:tcBorders>
            <w:shd w:fill="7B3F00" w:val="clear"/>
            <w:tcMar>
              <w:top w:type="dxa" w:w="100"/>
              <w:left w:type="dxa" w:w="140"/>
              <w:bottom w:type="dxa" w:w="100"/>
              <w:right w:type="dxa" w:w="140"/>
            </w:tcMar>
          </w:tcPr>
          <w:p>
            <w:pPr>
              <w:spacing w:after="80" w:before="80"/>
              <w:jc w:val="left"/>
            </w:pPr>
            <w:r>
              <w:rPr>
                <w:rFonts w:ascii="Arial" w:cs="Arial" w:eastAsia="Arial" w:hAnsi="Arial"/>
                <w:b/>
                <w:bCs/>
                <w:i w:val="false"/>
                <w:iCs w:val="false"/>
                <w:color w:val="FFFFFF"/>
                <w:sz w:val="20"/>
                <w:szCs w:val="20"/>
              </w:rPr>
              <w:t xml:space="preserve">TCV CALCULATION</w:t>
            </w:r>
          </w:p>
        </w:tc>
      </w:tr>
      <w:tr>
        <w:tc>
          <w:tcPr>
            <w:tcW w:type="dxa" w:w="4680"/>
            <w:tcBorders>
              <w:top w:val="single" w:color="CCCCCC" w:sz="1"/>
              <w:left w:val="single" w:color="CCCCCC" w:sz="1"/>
              <w:bottom w:val="single" w:color="CCCCCC" w:sz="1"/>
              <w:right w:val="single" w:color="CCCCCC" w:sz="1"/>
            </w:tcBorders>
            <w:shd w:fill="FEF9F2" w:val="clear"/>
            <w:tcMar>
              <w:top w:type="dxa" w:w="90"/>
              <w:left w:type="dxa" w:w="140"/>
              <w:bottom w:type="dxa" w:w="90"/>
              <w:right w:type="dxa" w:w="140"/>
            </w:tcMar>
          </w:tcPr>
          <w:p>
            <w:pPr>
              <w:spacing w:after="80" w:before="80"/>
              <w:jc w:val="left"/>
            </w:pPr>
            <w:r>
              <w:rPr>
                <w:rFonts w:ascii="Arial" w:cs="Arial" w:eastAsia="Arial" w:hAnsi="Arial"/>
                <w:b w:val="false"/>
                <w:bCs w:val="false"/>
                <w:i w:val="false"/>
                <w:iCs w:val="false"/>
                <w:color w:val="2D2D2D"/>
                <w:sz w:val="20"/>
                <w:szCs w:val="20"/>
              </w:rPr>
              <w:t xml:space="preserve">$3,000/mo subscription, 2-year contract, no one-time fees</w:t>
            </w:r>
          </w:p>
        </w:tc>
        <w:tc>
          <w:tcPr>
            <w:tcW w:type="dxa" w:w="4680"/>
            <w:tcBorders>
              <w:top w:val="single" w:color="CCCCCC" w:sz="1"/>
              <w:left w:val="single" w:color="CCCCCC" w:sz="1"/>
              <w:bottom w:val="single" w:color="CCCCCC" w:sz="1"/>
              <w:right w:val="single" w:color="CCCCCC" w:sz="1"/>
            </w:tcBorders>
            <w:shd w:fill="FFF3E0" w:val="clear"/>
            <w:tcMar>
              <w:top w:type="dxa" w:w="90"/>
              <w:left w:type="dxa" w:w="140"/>
              <w:bottom w:type="dxa" w:w="90"/>
              <w:right w:type="dxa" w:w="140"/>
            </w:tcMar>
          </w:tcPr>
          <w:p>
            <w:pPr>
              <w:spacing w:after="80" w:before="80"/>
              <w:jc w:val="left"/>
            </w:pPr>
            <w:r>
              <w:rPr>
                <w:rFonts w:ascii="Arial" w:cs="Arial" w:eastAsia="Arial" w:hAnsi="Arial"/>
                <w:b/>
                <w:bCs/>
                <w:i w:val="false"/>
                <w:iCs w:val="false"/>
                <w:color w:val="7B3F00"/>
                <w:sz w:val="20"/>
                <w:szCs w:val="20"/>
              </w:rPr>
              <w:t xml:space="preserve">TCV = ($3,000 × 24) + $0 = $72,000</w:t>
            </w:r>
          </w:p>
        </w:tc>
      </w:tr>
      <w:tr>
        <w:tc>
          <w:tcPr>
            <w:tcW w:type="dxa" w:w="4680"/>
            <w:tcBorders>
              <w:top w:val="single" w:color="CCCCCC" w:sz="1"/>
              <w:left w:val="single" w:color="CCCCCC" w:sz="1"/>
              <w:bottom w:val="single" w:color="CCCCCC" w:sz="1"/>
              <w:right w:val="single" w:color="CCCCCC" w:sz="1"/>
            </w:tcBorders>
            <w:shd w:fill="FFFDF7" w:val="clear"/>
            <w:tcMar>
              <w:top w:type="dxa" w:w="90"/>
              <w:left w:type="dxa" w:w="140"/>
              <w:bottom w:type="dxa" w:w="90"/>
              <w:right w:type="dxa" w:w="140"/>
            </w:tcMar>
          </w:tcPr>
          <w:p>
            <w:pPr>
              <w:spacing w:after="80" w:before="80"/>
              <w:jc w:val="left"/>
            </w:pPr>
            <w:r>
              <w:rPr>
                <w:rFonts w:ascii="Arial" w:cs="Arial" w:eastAsia="Arial" w:hAnsi="Arial"/>
                <w:b w:val="false"/>
                <w:bCs w:val="false"/>
                <w:i w:val="false"/>
                <w:iCs w:val="false"/>
                <w:color w:val="2D2D2D"/>
                <w:sz w:val="20"/>
                <w:szCs w:val="20"/>
              </w:rPr>
              <w:t xml:space="preserve">$5,000/mo, 3-year term, $10,000 implementation fee</w:t>
            </w:r>
          </w:p>
        </w:tc>
        <w:tc>
          <w:tcPr>
            <w:tcW w:type="dxa" w:w="4680"/>
            <w:tcBorders>
              <w:top w:val="single" w:color="CCCCCC" w:sz="1"/>
              <w:left w:val="single" w:color="CCCCCC" w:sz="1"/>
              <w:bottom w:val="single" w:color="CCCCCC" w:sz="1"/>
              <w:right w:val="single" w:color="CCCCCC" w:sz="1"/>
            </w:tcBorders>
            <w:shd w:fill="FFF8F0" w:val="clear"/>
            <w:tcMar>
              <w:top w:type="dxa" w:w="90"/>
              <w:left w:type="dxa" w:w="140"/>
              <w:bottom w:type="dxa" w:w="90"/>
              <w:right w:type="dxa" w:w="140"/>
            </w:tcMar>
          </w:tcPr>
          <w:p>
            <w:pPr>
              <w:spacing w:after="80" w:before="80"/>
              <w:jc w:val="left"/>
            </w:pPr>
            <w:r>
              <w:rPr>
                <w:rFonts w:ascii="Arial" w:cs="Arial" w:eastAsia="Arial" w:hAnsi="Arial"/>
                <w:b/>
                <w:bCs/>
                <w:i w:val="false"/>
                <w:iCs w:val="false"/>
                <w:color w:val="7B3F00"/>
                <w:sz w:val="20"/>
                <w:szCs w:val="20"/>
              </w:rPr>
              <w:t xml:space="preserve">TCV = ($5,000 × 36) + $10,000 = $190,000</w:t>
            </w:r>
          </w:p>
        </w:tc>
      </w:tr>
      <w:tr>
        <w:tc>
          <w:tcPr>
            <w:tcW w:type="dxa" w:w="4680"/>
            <w:tcBorders>
              <w:top w:val="single" w:color="CCCCCC" w:sz="1"/>
              <w:left w:val="single" w:color="CCCCCC" w:sz="1"/>
              <w:bottom w:val="single" w:color="CCCCCC" w:sz="1"/>
              <w:right w:val="single" w:color="CCCCCC" w:sz="1"/>
            </w:tcBorders>
            <w:shd w:fill="FEF9F2" w:val="clear"/>
            <w:tcMar>
              <w:top w:type="dxa" w:w="90"/>
              <w:left w:type="dxa" w:w="140"/>
              <w:bottom w:type="dxa" w:w="90"/>
              <w:right w:type="dxa" w:w="140"/>
            </w:tcMar>
          </w:tcPr>
          <w:p>
            <w:pPr>
              <w:spacing w:after="80" w:before="80"/>
              <w:jc w:val="left"/>
            </w:pPr>
            <w:r>
              <w:rPr>
                <w:rFonts w:ascii="Arial" w:cs="Arial" w:eastAsia="Arial" w:hAnsi="Arial"/>
                <w:b w:val="false"/>
                <w:bCs w:val="false"/>
                <w:i w:val="false"/>
                <w:iCs w:val="false"/>
                <w:color w:val="2D2D2D"/>
                <w:sz w:val="20"/>
                <w:szCs w:val="20"/>
              </w:rPr>
              <w:t xml:space="preserve">$1,500/mo, 1-year contract, $2,000 setup + $3,000 training</w:t>
            </w:r>
          </w:p>
        </w:tc>
        <w:tc>
          <w:tcPr>
            <w:tcW w:type="dxa" w:w="4680"/>
            <w:tcBorders>
              <w:top w:val="single" w:color="CCCCCC" w:sz="1"/>
              <w:left w:val="single" w:color="CCCCCC" w:sz="1"/>
              <w:bottom w:val="single" w:color="CCCCCC" w:sz="1"/>
              <w:right w:val="single" w:color="CCCCCC" w:sz="1"/>
            </w:tcBorders>
            <w:shd w:fill="FFF3E0" w:val="clear"/>
            <w:tcMar>
              <w:top w:type="dxa" w:w="90"/>
              <w:left w:type="dxa" w:w="140"/>
              <w:bottom w:type="dxa" w:w="90"/>
              <w:right w:type="dxa" w:w="140"/>
            </w:tcMar>
          </w:tcPr>
          <w:p>
            <w:pPr>
              <w:spacing w:after="80" w:before="80"/>
              <w:jc w:val="left"/>
            </w:pPr>
            <w:r>
              <w:rPr>
                <w:rFonts w:ascii="Arial" w:cs="Arial" w:eastAsia="Arial" w:hAnsi="Arial"/>
                <w:b/>
                <w:bCs/>
                <w:i w:val="false"/>
                <w:iCs w:val="false"/>
                <w:color w:val="7B3F00"/>
                <w:sz w:val="20"/>
                <w:szCs w:val="20"/>
              </w:rPr>
              <w:t xml:space="preserve">TCV = ($1,500 × 12) + $5,000 = $23,000</w:t>
            </w:r>
          </w:p>
        </w:tc>
      </w:tr>
    </w:tbl>
    <w:p>
      <w:pPr>
        <w:spacing w:after="0" w:before="120"/>
        <w:jc w:val="left"/>
      </w:pPr>
      <w:r>
        <w:rPr>
          <w:rFonts w:ascii="Arial" w:cs="Arial" w:eastAsia="Arial" w:hAnsi="Arial"/>
          <w:b w:val="false"/>
          <w:bCs w:val="false"/>
          <w:i w:val="false"/>
          <w:iCs w:val="false"/>
          <w:color w:val="2D2D2D"/>
          <w:sz w:val="22"/>
          <w:szCs w:val="22"/>
        </w:rPr>
        <w:t xml:space="preserve"/>
      </w:r>
    </w:p>
    <w:p>
      <w:pPr>
        <w:pStyle w:val="Heading2"/>
        <w:spacing w:after="100" w:before="280"/>
        <w:jc w:val="left"/>
      </w:pPr>
      <w:r>
        <w:rPr>
          <w:rFonts w:ascii="Arial" w:cs="Arial" w:eastAsia="Arial" w:hAnsi="Arial"/>
          <w:b/>
          <w:bCs/>
          <w:i w:val="false"/>
          <w:iCs w:val="false"/>
          <w:color w:val="2E75B6"/>
          <w:sz w:val="27"/>
          <w:szCs w:val="27"/>
        </w:rPr>
        <w:t xml:space="preserve">2.4  ARR vs. MRR vs. TCV — Quick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1F4E79" w:sz="3"/>
              <w:left w:val="single" w:color="1F4E79" w:sz="3"/>
              <w:bottom w:val="single" w:color="1F4E79" w:sz="3"/>
              <w:right w:val="single" w:color="1F4E79" w:sz="3"/>
            </w:tcBorders>
            <w:shd w:fill="1F4E79" w:val="clear"/>
            <w:tcMar>
              <w:top w:type="dxa" w:w="90"/>
              <w:left w:type="dxa" w:w="120"/>
              <w:bottom w:type="dxa" w:w="90"/>
              <w:right w:type="dxa" w:w="120"/>
            </w:tcMar>
          </w:tcPr>
          <w:p>
            <w:pPr>
              <w:spacing w:after="80" w:before="80"/>
              <w:jc w:val="center"/>
            </w:pPr>
            <w:r>
              <w:rPr>
                <w:rFonts w:ascii="Arial" w:cs="Arial" w:eastAsia="Arial" w:hAnsi="Arial"/>
                <w:b/>
                <w:bCs/>
                <w:i w:val="false"/>
                <w:iCs w:val="false"/>
                <w:color w:val="FFFFFF"/>
                <w:sz w:val="20"/>
                <w:szCs w:val="20"/>
              </w:rPr>
              <w:t xml:space="preserve">Attribute</w:t>
            </w:r>
          </w:p>
        </w:tc>
        <w:tc>
          <w:tcPr>
            <w:tcW w:type="dxa" w:w="2600"/>
            <w:tcBorders>
              <w:top w:val="single" w:color="1F4E79" w:sz="3"/>
              <w:left w:val="single" w:color="1F4E79" w:sz="3"/>
              <w:bottom w:val="single" w:color="1F4E79" w:sz="3"/>
              <w:right w:val="single" w:color="1F4E79" w:sz="3"/>
            </w:tcBorders>
            <w:shd w:fill="1A5276" w:val="clear"/>
            <w:tcMar>
              <w:top w:type="dxa" w:w="90"/>
              <w:left w:type="dxa" w:w="120"/>
              <w:bottom w:type="dxa" w:w="90"/>
              <w:right w:type="dxa" w:w="120"/>
            </w:tcMar>
          </w:tcPr>
          <w:p>
            <w:pPr>
              <w:spacing w:after="80" w:before="80"/>
              <w:jc w:val="center"/>
            </w:pPr>
            <w:r>
              <w:rPr>
                <w:rFonts w:ascii="Arial" w:cs="Arial" w:eastAsia="Arial" w:hAnsi="Arial"/>
                <w:b/>
                <w:bCs/>
                <w:i w:val="false"/>
                <w:iCs w:val="false"/>
                <w:color w:val="FFFFFF"/>
                <w:sz w:val="20"/>
                <w:szCs w:val="20"/>
              </w:rPr>
              <w:t xml:space="preserve">ARR</w:t>
            </w:r>
          </w:p>
        </w:tc>
        <w:tc>
          <w:tcPr>
            <w:tcW w:type="dxa" w:w="2600"/>
            <w:tcBorders>
              <w:top w:val="single" w:color="1F4E79" w:sz="3"/>
              <w:left w:val="single" w:color="1F4E79" w:sz="3"/>
              <w:bottom w:val="single" w:color="1F4E79" w:sz="3"/>
              <w:right w:val="single" w:color="1F4E79" w:sz="3"/>
            </w:tcBorders>
            <w:shd w:fill="1A7040" w:val="clear"/>
            <w:tcMar>
              <w:top w:type="dxa" w:w="90"/>
              <w:left w:type="dxa" w:w="120"/>
              <w:bottom w:type="dxa" w:w="90"/>
              <w:right w:type="dxa" w:w="120"/>
            </w:tcMar>
          </w:tcPr>
          <w:p>
            <w:pPr>
              <w:spacing w:after="80" w:before="80"/>
              <w:jc w:val="center"/>
            </w:pPr>
            <w:r>
              <w:rPr>
                <w:rFonts w:ascii="Arial" w:cs="Arial" w:eastAsia="Arial" w:hAnsi="Arial"/>
                <w:b/>
                <w:bCs/>
                <w:i w:val="false"/>
                <w:iCs w:val="false"/>
                <w:color w:val="FFFFFF"/>
                <w:sz w:val="20"/>
                <w:szCs w:val="20"/>
              </w:rPr>
              <w:t xml:space="preserve">MRR</w:t>
            </w:r>
          </w:p>
        </w:tc>
        <w:tc>
          <w:tcPr>
            <w:tcW w:type="dxa" w:w="2600"/>
            <w:tcBorders>
              <w:top w:val="single" w:color="1F4E79" w:sz="3"/>
              <w:left w:val="single" w:color="1F4E79" w:sz="3"/>
              <w:bottom w:val="single" w:color="1F4E79" w:sz="3"/>
              <w:right w:val="single" w:color="1F4E79" w:sz="3"/>
            </w:tcBorders>
            <w:shd w:fill="7B3F00" w:val="clear"/>
            <w:tcMar>
              <w:top w:type="dxa" w:w="90"/>
              <w:left w:type="dxa" w:w="120"/>
              <w:bottom w:type="dxa" w:w="90"/>
              <w:right w:type="dxa" w:w="120"/>
            </w:tcMar>
          </w:tcPr>
          <w:p>
            <w:pPr>
              <w:spacing w:after="80" w:before="80"/>
              <w:jc w:val="center"/>
            </w:pPr>
            <w:r>
              <w:rPr>
                <w:rFonts w:ascii="Arial" w:cs="Arial" w:eastAsia="Arial" w:hAnsi="Arial"/>
                <w:b/>
                <w:bCs/>
                <w:i w:val="false"/>
                <w:iCs w:val="false"/>
                <w:color w:val="FFFFFF"/>
                <w:sz w:val="20"/>
                <w:szCs w:val="20"/>
              </w:rPr>
              <w:t xml:space="preserve">TCV</w:t>
            </w:r>
          </w:p>
        </w:tc>
      </w:tr>
      <w:tr>
        <w:tc>
          <w:tcPr>
            <w:tcW w:type="dxa" w:w="1560"/>
            <w:tcBorders>
              <w:top w:val="single" w:color="CCCCCC" w:sz="1"/>
              <w:left w:val="single" w:color="CCCCCC" w:sz="1"/>
              <w:bottom w:val="single" w:color="CCCCCC" w:sz="1"/>
              <w:right w:val="single" w:color="CCCCCC" w:sz="1"/>
            </w:tcBorders>
            <w:shd w:fill="EBF5FB" w:val="clear"/>
            <w:tcMar>
              <w:top w:type="dxa" w:w="85"/>
              <w:left w:type="dxa" w:w="120"/>
              <w:bottom w:type="dxa" w:w="85"/>
              <w:right w:type="dxa" w:w="120"/>
            </w:tcMar>
          </w:tcPr>
          <w:p>
            <w:pPr>
              <w:spacing w:after="80" w:before="80"/>
              <w:jc w:val="left"/>
            </w:pPr>
            <w:r>
              <w:rPr>
                <w:rFonts w:ascii="Arial" w:cs="Arial" w:eastAsia="Arial" w:hAnsi="Arial"/>
                <w:b/>
                <w:bCs/>
                <w:i w:val="false"/>
                <w:iCs w:val="false"/>
                <w:color w:val="1F4E79"/>
                <w:sz w:val="20"/>
                <w:szCs w:val="20"/>
              </w:rPr>
              <w:t xml:space="preserve">Time Period</w:t>
            </w:r>
          </w:p>
        </w:tc>
        <w:tc>
          <w:tcPr>
            <w:tcW w:type="dxa" w:w="2600"/>
            <w:tcBorders>
              <w:top w:val="single" w:color="CCCCCC" w:sz="1"/>
              <w:left w:val="single" w:color="CCCCCC" w:sz="1"/>
              <w:bottom w:val="single" w:color="CCCCCC" w:sz="1"/>
              <w:right w:val="single" w:color="CCCCCC" w:sz="1"/>
            </w:tcBorders>
            <w:shd w:fill="FAFEFF" w:val="clear"/>
            <w:tcMar>
              <w:top w:type="dxa" w:w="85"/>
              <w:left w:type="dxa" w:w="120"/>
              <w:bottom w:type="dxa" w:w="85"/>
              <w:right w:type="dxa" w:w="120"/>
            </w:tcMar>
          </w:tcPr>
          <w:p>
            <w:pPr>
              <w:spacing w:after="80" w:before="80"/>
              <w:jc w:val="left"/>
            </w:pPr>
            <w:r>
              <w:rPr>
                <w:rFonts w:ascii="Arial" w:cs="Arial" w:eastAsia="Arial" w:hAnsi="Arial"/>
                <w:b w:val="false"/>
                <w:bCs w:val="false"/>
                <w:i w:val="false"/>
                <w:iCs w:val="false"/>
                <w:color w:val="2D2D2D"/>
                <w:sz w:val="20"/>
                <w:szCs w:val="20"/>
              </w:rPr>
              <w:t xml:space="preserve">Annual (yearly)</w:t>
            </w:r>
          </w:p>
        </w:tc>
        <w:tc>
          <w:tcPr>
            <w:tcW w:type="dxa" w:w="2600"/>
            <w:tcBorders>
              <w:top w:val="single" w:color="CCCCCC" w:sz="1"/>
              <w:left w:val="single" w:color="CCCCCC" w:sz="1"/>
              <w:bottom w:val="single" w:color="CCCCCC" w:sz="1"/>
              <w:right w:val="single" w:color="CCCCCC" w:sz="1"/>
            </w:tcBorders>
            <w:shd w:fill="F0FFF4" w:val="clear"/>
            <w:tcMar>
              <w:top w:type="dxa" w:w="85"/>
              <w:left w:type="dxa" w:w="120"/>
              <w:bottom w:type="dxa" w:w="85"/>
              <w:right w:type="dxa" w:w="120"/>
            </w:tcMar>
          </w:tcPr>
          <w:p>
            <w:pPr>
              <w:spacing w:after="80" w:before="80"/>
              <w:jc w:val="left"/>
            </w:pPr>
            <w:r>
              <w:rPr>
                <w:rFonts w:ascii="Arial" w:cs="Arial" w:eastAsia="Arial" w:hAnsi="Arial"/>
                <w:b w:val="false"/>
                <w:bCs w:val="false"/>
                <w:i w:val="false"/>
                <w:iCs w:val="false"/>
                <w:color w:val="2D2D2D"/>
                <w:sz w:val="20"/>
                <w:szCs w:val="20"/>
              </w:rPr>
              <w:t xml:space="preserve">Monthly</w:t>
            </w:r>
          </w:p>
        </w:tc>
        <w:tc>
          <w:tcPr>
            <w:tcW w:type="dxa" w:w="2600"/>
            <w:tcBorders>
              <w:top w:val="single" w:color="CCCCCC" w:sz="1"/>
              <w:left w:val="single" w:color="CCCCCC" w:sz="1"/>
              <w:bottom w:val="single" w:color="CCCCCC" w:sz="1"/>
              <w:right w:val="single" w:color="CCCCCC" w:sz="1"/>
            </w:tcBorders>
            <w:shd w:fill="FFF8F2" w:val="clear"/>
            <w:tcMar>
              <w:top w:type="dxa" w:w="85"/>
              <w:left w:type="dxa" w:w="120"/>
              <w:bottom w:type="dxa" w:w="85"/>
              <w:right w:type="dxa" w:w="120"/>
            </w:tcMar>
          </w:tcPr>
          <w:p>
            <w:pPr>
              <w:spacing w:after="80" w:before="80"/>
              <w:jc w:val="left"/>
            </w:pPr>
            <w:r>
              <w:rPr>
                <w:rFonts w:ascii="Arial" w:cs="Arial" w:eastAsia="Arial" w:hAnsi="Arial"/>
                <w:b w:val="false"/>
                <w:bCs w:val="false"/>
                <w:i w:val="false"/>
                <w:iCs w:val="false"/>
                <w:color w:val="2D2D2D"/>
                <w:sz w:val="20"/>
                <w:szCs w:val="20"/>
              </w:rPr>
              <w:t xml:space="preserve">Full contract term</w:t>
            </w:r>
          </w:p>
        </w:tc>
      </w:tr>
      <w:tr>
        <w:tc>
          <w:tcPr>
            <w:tcW w:type="dxa" w:w="1560"/>
            <w:tcBorders>
              <w:top w:val="single" w:color="CCCCCC" w:sz="1"/>
              <w:left w:val="single" w:color="CCCCCC" w:sz="1"/>
              <w:bottom w:val="single" w:color="CCCCCC" w:sz="1"/>
              <w:right w:val="single" w:color="CCCCCC" w:sz="1"/>
            </w:tcBorders>
            <w:shd w:fill="F5FAFF" w:val="clear"/>
            <w:tcMar>
              <w:top w:type="dxa" w:w="85"/>
              <w:left w:type="dxa" w:w="120"/>
              <w:bottom w:type="dxa" w:w="85"/>
              <w:right w:type="dxa" w:w="120"/>
            </w:tcMar>
          </w:tcPr>
          <w:p>
            <w:pPr>
              <w:spacing w:after="80" w:before="80"/>
              <w:jc w:val="left"/>
            </w:pPr>
            <w:r>
              <w:rPr>
                <w:rFonts w:ascii="Arial" w:cs="Arial" w:eastAsia="Arial" w:hAnsi="Arial"/>
                <w:b/>
                <w:bCs/>
                <w:i w:val="false"/>
                <w:iCs w:val="false"/>
                <w:color w:val="1F4E79"/>
                <w:sz w:val="20"/>
                <w:szCs w:val="20"/>
              </w:rPr>
              <w:t xml:space="preserve">Includes One-Time Fees?</w:t>
            </w:r>
          </w:p>
        </w:tc>
        <w:tc>
          <w:tcPr>
            <w:tcW w:type="dxa" w:w="2600"/>
            <w:tcBorders>
              <w:top w:val="single" w:color="CCCCCC" w:sz="1"/>
              <w:left w:val="single" w:color="CCCCCC" w:sz="1"/>
              <w:bottom w:val="single" w:color="CCCCCC" w:sz="1"/>
              <w:right w:val="single" w:color="CCCCCC" w:sz="1"/>
            </w:tcBorders>
            <w:shd w:fill="FDFFFF" w:val="clear"/>
            <w:tcMar>
              <w:top w:type="dxa" w:w="85"/>
              <w:left w:type="dxa" w:w="120"/>
              <w:bottom w:type="dxa" w:w="85"/>
              <w:right w:type="dxa" w:w="120"/>
            </w:tcMar>
          </w:tcPr>
          <w:p>
            <w:pPr>
              <w:spacing w:after="80" w:before="80"/>
              <w:jc w:val="left"/>
            </w:pPr>
            <w:r>
              <w:rPr>
                <w:rFonts w:ascii="Arial" w:cs="Arial" w:eastAsia="Arial" w:hAnsi="Arial"/>
                <w:b w:val="false"/>
                <w:bCs w:val="false"/>
                <w:i w:val="false"/>
                <w:iCs w:val="false"/>
                <w:color w:val="2D2D2D"/>
                <w:sz w:val="20"/>
                <w:szCs w:val="20"/>
              </w:rPr>
              <w:t xml:space="preserve">No</w:t>
            </w:r>
          </w:p>
        </w:tc>
        <w:tc>
          <w:tcPr>
            <w:tcW w:type="dxa" w:w="2600"/>
            <w:tcBorders>
              <w:top w:val="single" w:color="CCCCCC" w:sz="1"/>
              <w:left w:val="single" w:color="CCCCCC" w:sz="1"/>
              <w:bottom w:val="single" w:color="CCCCCC" w:sz="1"/>
              <w:right w:val="single" w:color="CCCCCC" w:sz="1"/>
            </w:tcBorders>
            <w:shd w:fill="FAFFFE" w:val="clear"/>
            <w:tcMar>
              <w:top w:type="dxa" w:w="85"/>
              <w:left w:type="dxa" w:w="120"/>
              <w:bottom w:type="dxa" w:w="85"/>
              <w:right w:type="dxa" w:w="120"/>
            </w:tcMar>
          </w:tcPr>
          <w:p>
            <w:pPr>
              <w:spacing w:after="80" w:before="80"/>
              <w:jc w:val="left"/>
            </w:pPr>
            <w:r>
              <w:rPr>
                <w:rFonts w:ascii="Arial" w:cs="Arial" w:eastAsia="Arial" w:hAnsi="Arial"/>
                <w:b w:val="false"/>
                <w:bCs w:val="false"/>
                <w:i w:val="false"/>
                <w:iCs w:val="false"/>
                <w:color w:val="2D2D2D"/>
                <w:sz w:val="20"/>
                <w:szCs w:val="20"/>
              </w:rPr>
              <w:t xml:space="preserve">No</w:t>
            </w:r>
          </w:p>
        </w:tc>
        <w:tc>
          <w:tcPr>
            <w:tcW w:type="dxa" w:w="2600"/>
            <w:tcBorders>
              <w:top w:val="single" w:color="CCCCCC" w:sz="1"/>
              <w:left w:val="single" w:color="CCCCCC" w:sz="1"/>
              <w:bottom w:val="single" w:color="CCCCCC" w:sz="1"/>
              <w:right w:val="single" w:color="CCCCCC" w:sz="1"/>
            </w:tcBorders>
            <w:shd w:fill="FFFCF9" w:val="clear"/>
            <w:tcMar>
              <w:top w:type="dxa" w:w="85"/>
              <w:left w:type="dxa" w:w="120"/>
              <w:bottom w:type="dxa" w:w="85"/>
              <w:right w:type="dxa" w:w="120"/>
            </w:tcMar>
          </w:tcPr>
          <w:p>
            <w:pPr>
              <w:spacing w:after="80" w:before="80"/>
              <w:jc w:val="left"/>
            </w:pPr>
            <w:r>
              <w:rPr>
                <w:rFonts w:ascii="Arial" w:cs="Arial" w:eastAsia="Arial" w:hAnsi="Arial"/>
                <w:b w:val="false"/>
                <w:bCs w:val="false"/>
                <w:i w:val="false"/>
                <w:iCs w:val="false"/>
                <w:color w:val="2D2D2D"/>
                <w:sz w:val="20"/>
                <w:szCs w:val="20"/>
              </w:rPr>
              <w:t xml:space="preserve">Yes</w:t>
            </w:r>
          </w:p>
        </w:tc>
      </w:tr>
      <w:tr>
        <w:tc>
          <w:tcPr>
            <w:tcW w:type="dxa" w:w="1560"/>
            <w:tcBorders>
              <w:top w:val="single" w:color="CCCCCC" w:sz="1"/>
              <w:left w:val="single" w:color="CCCCCC" w:sz="1"/>
              <w:bottom w:val="single" w:color="CCCCCC" w:sz="1"/>
              <w:right w:val="single" w:color="CCCCCC" w:sz="1"/>
            </w:tcBorders>
            <w:shd w:fill="EBF5FB" w:val="clear"/>
            <w:tcMar>
              <w:top w:type="dxa" w:w="85"/>
              <w:left w:type="dxa" w:w="120"/>
              <w:bottom w:type="dxa" w:w="85"/>
              <w:right w:type="dxa" w:w="120"/>
            </w:tcMar>
          </w:tcPr>
          <w:p>
            <w:pPr>
              <w:spacing w:after="80" w:before="80"/>
              <w:jc w:val="left"/>
            </w:pPr>
            <w:r>
              <w:rPr>
                <w:rFonts w:ascii="Arial" w:cs="Arial" w:eastAsia="Arial" w:hAnsi="Arial"/>
                <w:b/>
                <w:bCs/>
                <w:i w:val="false"/>
                <w:iCs w:val="false"/>
                <w:color w:val="1F4E79"/>
                <w:sz w:val="20"/>
                <w:szCs w:val="20"/>
              </w:rPr>
              <w:t xml:space="preserve">Recurring Only?</w:t>
            </w:r>
          </w:p>
        </w:tc>
        <w:tc>
          <w:tcPr>
            <w:tcW w:type="dxa" w:w="2600"/>
            <w:tcBorders>
              <w:top w:val="single" w:color="CCCCCC" w:sz="1"/>
              <w:left w:val="single" w:color="CCCCCC" w:sz="1"/>
              <w:bottom w:val="single" w:color="CCCCCC" w:sz="1"/>
              <w:right w:val="single" w:color="CCCCCC" w:sz="1"/>
            </w:tcBorders>
            <w:shd w:fill="FAFEFF" w:val="clear"/>
            <w:tcMar>
              <w:top w:type="dxa" w:w="85"/>
              <w:left w:type="dxa" w:w="120"/>
              <w:bottom w:type="dxa" w:w="85"/>
              <w:right w:type="dxa" w:w="120"/>
            </w:tcMar>
          </w:tcPr>
          <w:p>
            <w:pPr>
              <w:spacing w:after="80" w:before="80"/>
              <w:jc w:val="left"/>
            </w:pPr>
            <w:r>
              <w:rPr>
                <w:rFonts w:ascii="Arial" w:cs="Arial" w:eastAsia="Arial" w:hAnsi="Arial"/>
                <w:b w:val="false"/>
                <w:bCs w:val="false"/>
                <w:i w:val="false"/>
                <w:iCs w:val="false"/>
                <w:color w:val="2D2D2D"/>
                <w:sz w:val="20"/>
                <w:szCs w:val="20"/>
              </w:rPr>
              <w:t xml:space="preserve">Yes</w:t>
            </w:r>
          </w:p>
        </w:tc>
        <w:tc>
          <w:tcPr>
            <w:tcW w:type="dxa" w:w="2600"/>
            <w:tcBorders>
              <w:top w:val="single" w:color="CCCCCC" w:sz="1"/>
              <w:left w:val="single" w:color="CCCCCC" w:sz="1"/>
              <w:bottom w:val="single" w:color="CCCCCC" w:sz="1"/>
              <w:right w:val="single" w:color="CCCCCC" w:sz="1"/>
            </w:tcBorders>
            <w:shd w:fill="F0FFF4" w:val="clear"/>
            <w:tcMar>
              <w:top w:type="dxa" w:w="85"/>
              <w:left w:type="dxa" w:w="120"/>
              <w:bottom w:type="dxa" w:w="85"/>
              <w:right w:type="dxa" w:w="120"/>
            </w:tcMar>
          </w:tcPr>
          <w:p>
            <w:pPr>
              <w:spacing w:after="80" w:before="80"/>
              <w:jc w:val="left"/>
            </w:pPr>
            <w:r>
              <w:rPr>
                <w:rFonts w:ascii="Arial" w:cs="Arial" w:eastAsia="Arial" w:hAnsi="Arial"/>
                <w:b w:val="false"/>
                <w:bCs w:val="false"/>
                <w:i w:val="false"/>
                <w:iCs w:val="false"/>
                <w:color w:val="2D2D2D"/>
                <w:sz w:val="20"/>
                <w:szCs w:val="20"/>
              </w:rPr>
              <w:t xml:space="preserve">Yes</w:t>
            </w:r>
          </w:p>
        </w:tc>
        <w:tc>
          <w:tcPr>
            <w:tcW w:type="dxa" w:w="2600"/>
            <w:tcBorders>
              <w:top w:val="single" w:color="CCCCCC" w:sz="1"/>
              <w:left w:val="single" w:color="CCCCCC" w:sz="1"/>
              <w:bottom w:val="single" w:color="CCCCCC" w:sz="1"/>
              <w:right w:val="single" w:color="CCCCCC" w:sz="1"/>
            </w:tcBorders>
            <w:shd w:fill="FFF8F2" w:val="clear"/>
            <w:tcMar>
              <w:top w:type="dxa" w:w="85"/>
              <w:left w:type="dxa" w:w="120"/>
              <w:bottom w:type="dxa" w:w="85"/>
              <w:right w:type="dxa" w:w="120"/>
            </w:tcMar>
          </w:tcPr>
          <w:p>
            <w:pPr>
              <w:spacing w:after="80" w:before="80"/>
              <w:jc w:val="left"/>
            </w:pPr>
            <w:r>
              <w:rPr>
                <w:rFonts w:ascii="Arial" w:cs="Arial" w:eastAsia="Arial" w:hAnsi="Arial"/>
                <w:b w:val="false"/>
                <w:bCs w:val="false"/>
                <w:i w:val="false"/>
                <w:iCs w:val="false"/>
                <w:color w:val="2D2D2D"/>
                <w:sz w:val="20"/>
                <w:szCs w:val="20"/>
              </w:rPr>
              <w:t xml:space="preserve">No — includes all fees</w:t>
            </w:r>
          </w:p>
        </w:tc>
      </w:tr>
      <w:tr>
        <w:tc>
          <w:tcPr>
            <w:tcW w:type="dxa" w:w="1560"/>
            <w:tcBorders>
              <w:top w:val="single" w:color="CCCCCC" w:sz="1"/>
              <w:left w:val="single" w:color="CCCCCC" w:sz="1"/>
              <w:bottom w:val="single" w:color="CCCCCC" w:sz="1"/>
              <w:right w:val="single" w:color="CCCCCC" w:sz="1"/>
            </w:tcBorders>
            <w:shd w:fill="F5FAFF" w:val="clear"/>
            <w:tcMar>
              <w:top w:type="dxa" w:w="85"/>
              <w:left w:type="dxa" w:w="120"/>
              <w:bottom w:type="dxa" w:w="85"/>
              <w:right w:type="dxa" w:w="120"/>
            </w:tcMar>
          </w:tcPr>
          <w:p>
            <w:pPr>
              <w:spacing w:after="80" w:before="80"/>
              <w:jc w:val="left"/>
            </w:pPr>
            <w:r>
              <w:rPr>
                <w:rFonts w:ascii="Arial" w:cs="Arial" w:eastAsia="Arial" w:hAnsi="Arial"/>
                <w:b/>
                <w:bCs/>
                <w:i w:val="false"/>
                <w:iCs w:val="false"/>
                <w:color w:val="1F4E79"/>
                <w:sz w:val="20"/>
                <w:szCs w:val="20"/>
              </w:rPr>
              <w:t xml:space="preserve">Best Used For</w:t>
            </w:r>
          </w:p>
        </w:tc>
        <w:tc>
          <w:tcPr>
            <w:tcW w:type="dxa" w:w="2600"/>
            <w:tcBorders>
              <w:top w:val="single" w:color="CCCCCC" w:sz="1"/>
              <w:left w:val="single" w:color="CCCCCC" w:sz="1"/>
              <w:bottom w:val="single" w:color="CCCCCC" w:sz="1"/>
              <w:right w:val="single" w:color="CCCCCC" w:sz="1"/>
            </w:tcBorders>
            <w:shd w:fill="FDFFFF" w:val="clear"/>
            <w:tcMar>
              <w:top w:type="dxa" w:w="85"/>
              <w:left w:type="dxa" w:w="120"/>
              <w:bottom w:type="dxa" w:w="85"/>
              <w:right w:type="dxa" w:w="120"/>
            </w:tcMar>
          </w:tcPr>
          <w:p>
            <w:pPr>
              <w:spacing w:after="80" w:before="80"/>
              <w:jc w:val="left"/>
            </w:pPr>
            <w:r>
              <w:rPr>
                <w:rFonts w:ascii="Arial" w:cs="Arial" w:eastAsia="Arial" w:hAnsi="Arial"/>
                <w:b w:val="false"/>
                <w:bCs w:val="false"/>
                <w:i w:val="false"/>
                <w:iCs w:val="false"/>
                <w:color w:val="2D2D2D"/>
                <w:sz w:val="20"/>
                <w:szCs w:val="20"/>
              </w:rPr>
              <w:t xml:space="preserve">Annual business health, forecasting</w:t>
            </w:r>
          </w:p>
        </w:tc>
        <w:tc>
          <w:tcPr>
            <w:tcW w:type="dxa" w:w="2600"/>
            <w:tcBorders>
              <w:top w:val="single" w:color="CCCCCC" w:sz="1"/>
              <w:left w:val="single" w:color="CCCCCC" w:sz="1"/>
              <w:bottom w:val="single" w:color="CCCCCC" w:sz="1"/>
              <w:right w:val="single" w:color="CCCCCC" w:sz="1"/>
            </w:tcBorders>
            <w:shd w:fill="FAFFFE" w:val="clear"/>
            <w:tcMar>
              <w:top w:type="dxa" w:w="85"/>
              <w:left w:type="dxa" w:w="120"/>
              <w:bottom w:type="dxa" w:w="85"/>
              <w:right w:type="dxa" w:w="120"/>
            </w:tcMar>
          </w:tcPr>
          <w:p>
            <w:pPr>
              <w:spacing w:after="80" w:before="80"/>
              <w:jc w:val="left"/>
            </w:pPr>
            <w:r>
              <w:rPr>
                <w:rFonts w:ascii="Arial" w:cs="Arial" w:eastAsia="Arial" w:hAnsi="Arial"/>
                <w:b w:val="false"/>
                <w:bCs w:val="false"/>
                <w:i w:val="false"/>
                <w:iCs w:val="false"/>
                <w:color w:val="2D2D2D"/>
                <w:sz w:val="20"/>
                <w:szCs w:val="20"/>
              </w:rPr>
              <w:t xml:space="preserve">Monthly trend tracking, growth rate</w:t>
            </w:r>
          </w:p>
        </w:tc>
        <w:tc>
          <w:tcPr>
            <w:tcW w:type="dxa" w:w="2600"/>
            <w:tcBorders>
              <w:top w:val="single" w:color="CCCCCC" w:sz="1"/>
              <w:left w:val="single" w:color="CCCCCC" w:sz="1"/>
              <w:bottom w:val="single" w:color="CCCCCC" w:sz="1"/>
              <w:right w:val="single" w:color="CCCCCC" w:sz="1"/>
            </w:tcBorders>
            <w:shd w:fill="FFFCF9" w:val="clear"/>
            <w:tcMar>
              <w:top w:type="dxa" w:w="85"/>
              <w:left w:type="dxa" w:w="120"/>
              <w:bottom w:type="dxa" w:w="85"/>
              <w:right w:type="dxa" w:w="120"/>
            </w:tcMar>
          </w:tcPr>
          <w:p>
            <w:pPr>
              <w:spacing w:after="80" w:before="80"/>
              <w:jc w:val="left"/>
            </w:pPr>
            <w:r>
              <w:rPr>
                <w:rFonts w:ascii="Arial" w:cs="Arial" w:eastAsia="Arial" w:hAnsi="Arial"/>
                <w:b w:val="false"/>
                <w:bCs w:val="false"/>
                <w:i w:val="false"/>
                <w:iCs w:val="false"/>
                <w:color w:val="2D2D2D"/>
                <w:sz w:val="20"/>
                <w:szCs w:val="20"/>
              </w:rPr>
              <w:t xml:space="preserve">Deal size, sales commission calculation</w:t>
            </w:r>
          </w:p>
        </w:tc>
      </w:tr>
      <w:tr>
        <w:tc>
          <w:tcPr>
            <w:tcW w:type="dxa" w:w="1560"/>
            <w:tcBorders>
              <w:top w:val="single" w:color="CCCCCC" w:sz="1"/>
              <w:left w:val="single" w:color="CCCCCC" w:sz="1"/>
              <w:bottom w:val="single" w:color="CCCCCC" w:sz="1"/>
              <w:right w:val="single" w:color="CCCCCC" w:sz="1"/>
            </w:tcBorders>
            <w:shd w:fill="EBF5FB" w:val="clear"/>
            <w:tcMar>
              <w:top w:type="dxa" w:w="85"/>
              <w:left w:type="dxa" w:w="120"/>
              <w:bottom w:type="dxa" w:w="85"/>
              <w:right w:type="dxa" w:w="120"/>
            </w:tcMar>
          </w:tcPr>
          <w:p>
            <w:pPr>
              <w:spacing w:after="80" w:before="80"/>
              <w:jc w:val="left"/>
            </w:pPr>
            <w:r>
              <w:rPr>
                <w:rFonts w:ascii="Arial" w:cs="Arial" w:eastAsia="Arial" w:hAnsi="Arial"/>
                <w:b/>
                <w:bCs/>
                <w:i w:val="false"/>
                <w:iCs w:val="false"/>
                <w:color w:val="1F4E79"/>
                <w:sz w:val="20"/>
                <w:szCs w:val="20"/>
              </w:rPr>
              <w:t xml:space="preserve">Relationship</w:t>
            </w:r>
          </w:p>
        </w:tc>
        <w:tc>
          <w:tcPr>
            <w:tcW w:type="dxa" w:w="2600"/>
            <w:tcBorders>
              <w:top w:val="single" w:color="CCCCCC" w:sz="1"/>
              <w:left w:val="single" w:color="CCCCCC" w:sz="1"/>
              <w:bottom w:val="single" w:color="CCCCCC" w:sz="1"/>
              <w:right w:val="single" w:color="CCCCCC" w:sz="1"/>
            </w:tcBorders>
            <w:shd w:fill="FAFEFF" w:val="clear"/>
            <w:tcMar>
              <w:top w:type="dxa" w:w="85"/>
              <w:left w:type="dxa" w:w="120"/>
              <w:bottom w:type="dxa" w:w="85"/>
              <w:right w:type="dxa" w:w="120"/>
            </w:tcMar>
          </w:tcPr>
          <w:p>
            <w:pPr>
              <w:spacing w:after="80" w:before="80"/>
              <w:jc w:val="left"/>
            </w:pPr>
            <w:r>
              <w:rPr>
                <w:rFonts w:ascii="Arial" w:cs="Arial" w:eastAsia="Arial" w:hAnsi="Arial"/>
                <w:b w:val="false"/>
                <w:bCs w:val="false"/>
                <w:i w:val="false"/>
                <w:iCs w:val="false"/>
                <w:color w:val="2D2D2D"/>
                <w:sz w:val="20"/>
                <w:szCs w:val="20"/>
              </w:rPr>
              <w:t xml:space="preserve">ARR = MRR × 12</w:t>
            </w:r>
          </w:p>
        </w:tc>
        <w:tc>
          <w:tcPr>
            <w:tcW w:type="dxa" w:w="2600"/>
            <w:tcBorders>
              <w:top w:val="single" w:color="CCCCCC" w:sz="1"/>
              <w:left w:val="single" w:color="CCCCCC" w:sz="1"/>
              <w:bottom w:val="single" w:color="CCCCCC" w:sz="1"/>
              <w:right w:val="single" w:color="CCCCCC" w:sz="1"/>
            </w:tcBorders>
            <w:shd w:fill="F0FFF4" w:val="clear"/>
            <w:tcMar>
              <w:top w:type="dxa" w:w="85"/>
              <w:left w:type="dxa" w:w="120"/>
              <w:bottom w:type="dxa" w:w="85"/>
              <w:right w:type="dxa" w:w="120"/>
            </w:tcMar>
          </w:tcPr>
          <w:p>
            <w:pPr>
              <w:spacing w:after="80" w:before="80"/>
              <w:jc w:val="left"/>
            </w:pPr>
            <w:r>
              <w:rPr>
                <w:rFonts w:ascii="Arial" w:cs="Arial" w:eastAsia="Arial" w:hAnsi="Arial"/>
                <w:b w:val="false"/>
                <w:bCs w:val="false"/>
                <w:i w:val="false"/>
                <w:iCs w:val="false"/>
                <w:color w:val="2D2D2D"/>
                <w:sz w:val="20"/>
                <w:szCs w:val="20"/>
              </w:rPr>
              <w:t xml:space="preserve">MRR = ARR ÷ 12</w:t>
            </w:r>
          </w:p>
        </w:tc>
        <w:tc>
          <w:tcPr>
            <w:tcW w:type="dxa" w:w="2600"/>
            <w:tcBorders>
              <w:top w:val="single" w:color="CCCCCC" w:sz="1"/>
              <w:left w:val="single" w:color="CCCCCC" w:sz="1"/>
              <w:bottom w:val="single" w:color="CCCCCC" w:sz="1"/>
              <w:right w:val="single" w:color="CCCCCC" w:sz="1"/>
            </w:tcBorders>
            <w:shd w:fill="FFF8F2" w:val="clear"/>
            <w:tcMar>
              <w:top w:type="dxa" w:w="85"/>
              <w:left w:type="dxa" w:w="120"/>
              <w:bottom w:type="dxa" w:w="85"/>
              <w:right w:type="dxa" w:w="120"/>
            </w:tcMar>
          </w:tcPr>
          <w:p>
            <w:pPr>
              <w:spacing w:after="80" w:before="80"/>
              <w:jc w:val="left"/>
            </w:pPr>
            <w:r>
              <w:rPr>
                <w:rFonts w:ascii="Arial" w:cs="Arial" w:eastAsia="Arial" w:hAnsi="Arial"/>
                <w:b w:val="false"/>
                <w:bCs w:val="false"/>
                <w:i w:val="false"/>
                <w:iCs w:val="false"/>
                <w:color w:val="2D2D2D"/>
                <w:sz w:val="20"/>
                <w:szCs w:val="20"/>
              </w:rPr>
              <w:t xml:space="preserve">TCV ≥ ARR (if multi-year)</w:t>
            </w:r>
          </w:p>
        </w:tc>
      </w:tr>
      <w:tr>
        <w:tc>
          <w:tcPr>
            <w:tcW w:type="dxa" w:w="1560"/>
            <w:tcBorders>
              <w:top w:val="single" w:color="CCCCCC" w:sz="1"/>
              <w:left w:val="single" w:color="CCCCCC" w:sz="1"/>
              <w:bottom w:val="single" w:color="CCCCCC" w:sz="1"/>
              <w:right w:val="single" w:color="CCCCCC" w:sz="1"/>
            </w:tcBorders>
            <w:shd w:fill="F5FAFF" w:val="clear"/>
            <w:tcMar>
              <w:top w:type="dxa" w:w="85"/>
              <w:left w:type="dxa" w:w="120"/>
              <w:bottom w:type="dxa" w:w="85"/>
              <w:right w:type="dxa" w:w="120"/>
            </w:tcMar>
          </w:tcPr>
          <w:p>
            <w:pPr>
              <w:spacing w:after="80" w:before="80"/>
              <w:jc w:val="left"/>
            </w:pPr>
            <w:r>
              <w:rPr>
                <w:rFonts w:ascii="Arial" w:cs="Arial" w:eastAsia="Arial" w:hAnsi="Arial"/>
                <w:b/>
                <w:bCs/>
                <w:i w:val="false"/>
                <w:iCs w:val="false"/>
                <w:color w:val="1F4E79"/>
                <w:sz w:val="20"/>
                <w:szCs w:val="20"/>
              </w:rPr>
              <w:t xml:space="preserve">Cisco CSM Use</w:t>
            </w:r>
          </w:p>
        </w:tc>
        <w:tc>
          <w:tcPr>
            <w:tcW w:type="dxa" w:w="2600"/>
            <w:tcBorders>
              <w:top w:val="single" w:color="CCCCCC" w:sz="1"/>
              <w:left w:val="single" w:color="CCCCCC" w:sz="1"/>
              <w:bottom w:val="single" w:color="CCCCCC" w:sz="1"/>
              <w:right w:val="single" w:color="CCCCCC" w:sz="1"/>
            </w:tcBorders>
            <w:shd w:fill="FDFFFF" w:val="clear"/>
            <w:tcMar>
              <w:top w:type="dxa" w:w="85"/>
              <w:left w:type="dxa" w:w="120"/>
              <w:bottom w:type="dxa" w:w="85"/>
              <w:right w:type="dxa" w:w="120"/>
            </w:tcMar>
          </w:tcPr>
          <w:p>
            <w:pPr>
              <w:spacing w:after="80" w:before="80"/>
              <w:jc w:val="left"/>
            </w:pPr>
            <w:r>
              <w:rPr>
                <w:rFonts w:ascii="Arial" w:cs="Arial" w:eastAsia="Arial" w:hAnsi="Arial"/>
                <w:b w:val="false"/>
                <w:bCs w:val="false"/>
                <w:i w:val="false"/>
                <w:iCs w:val="false"/>
                <w:color w:val="2D2D2D"/>
                <w:sz w:val="20"/>
                <w:szCs w:val="20"/>
              </w:rPr>
              <w:t xml:space="preserve">Renewal pipeline size, account health</w:t>
            </w:r>
          </w:p>
        </w:tc>
        <w:tc>
          <w:tcPr>
            <w:tcW w:type="dxa" w:w="2600"/>
            <w:tcBorders>
              <w:top w:val="single" w:color="CCCCCC" w:sz="1"/>
              <w:left w:val="single" w:color="CCCCCC" w:sz="1"/>
              <w:bottom w:val="single" w:color="CCCCCC" w:sz="1"/>
              <w:right w:val="single" w:color="CCCCCC" w:sz="1"/>
            </w:tcBorders>
            <w:shd w:fill="FAFFFE" w:val="clear"/>
            <w:tcMar>
              <w:top w:type="dxa" w:w="85"/>
              <w:left w:type="dxa" w:w="120"/>
              <w:bottom w:type="dxa" w:w="85"/>
              <w:right w:type="dxa" w:w="120"/>
            </w:tcMar>
          </w:tcPr>
          <w:p>
            <w:pPr>
              <w:spacing w:after="80" w:before="80"/>
              <w:jc w:val="left"/>
            </w:pPr>
            <w:r>
              <w:rPr>
                <w:rFonts w:ascii="Arial" w:cs="Arial" w:eastAsia="Arial" w:hAnsi="Arial"/>
                <w:b w:val="false"/>
                <w:bCs w:val="false"/>
                <w:i w:val="false"/>
                <w:iCs w:val="false"/>
                <w:color w:val="2D2D2D"/>
                <w:sz w:val="20"/>
                <w:szCs w:val="20"/>
              </w:rPr>
              <w:t xml:space="preserve">Month-over-month adoption impact</w:t>
            </w:r>
          </w:p>
        </w:tc>
        <w:tc>
          <w:tcPr>
            <w:tcW w:type="dxa" w:w="2600"/>
            <w:tcBorders>
              <w:top w:val="single" w:color="CCCCCC" w:sz="1"/>
              <w:left w:val="single" w:color="CCCCCC" w:sz="1"/>
              <w:bottom w:val="single" w:color="CCCCCC" w:sz="1"/>
              <w:right w:val="single" w:color="CCCCCC" w:sz="1"/>
            </w:tcBorders>
            <w:shd w:fill="FFFCF9" w:val="clear"/>
            <w:tcMar>
              <w:top w:type="dxa" w:w="85"/>
              <w:left w:type="dxa" w:w="120"/>
              <w:bottom w:type="dxa" w:w="85"/>
              <w:right w:type="dxa" w:w="120"/>
            </w:tcMar>
          </w:tcPr>
          <w:p>
            <w:pPr>
              <w:spacing w:after="80" w:before="80"/>
              <w:jc w:val="left"/>
            </w:pPr>
            <w:r>
              <w:rPr>
                <w:rFonts w:ascii="Arial" w:cs="Arial" w:eastAsia="Arial" w:hAnsi="Arial"/>
                <w:b w:val="false"/>
                <w:bCs w:val="false"/>
                <w:i w:val="false"/>
                <w:iCs w:val="false"/>
                <w:color w:val="2D2D2D"/>
                <w:sz w:val="20"/>
                <w:szCs w:val="20"/>
              </w:rPr>
              <w:t xml:space="preserve">Contract scope, expansion baseline</w:t>
            </w: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F4E79" w:sz="3"/>
              <w:left w:val="single" w:color="1F4E79" w:sz="3"/>
              <w:bottom w:val="single" w:color="1F4E79" w:sz="3"/>
              <w:right w:val="single" w:color="1F4E79" w:sz="3"/>
            </w:tcBorders>
            <w:shd w:fill="7D1B00" w:val="clear"/>
            <w:tcMar>
              <w:top w:type="dxa" w:w="120"/>
              <w:left w:type="dxa" w:w="120"/>
              <w:bottom w:type="dxa" w:w="120"/>
              <w:right w:type="dxa" w:w="120"/>
            </w:tcMar>
            <w:vAlign w:val="center"/>
          </w:tcPr>
          <w:p>
            <w:pPr>
              <w:spacing w:after="80" w:before="80"/>
              <w:jc w:val="center"/>
            </w:pPr>
            <w:r>
              <w:rPr>
                <w:rFonts w:ascii="Arial" w:cs="Arial" w:eastAsia="Arial" w:hAnsi="Arial"/>
                <w:b/>
                <w:bCs/>
                <w:i w:val="false"/>
                <w:iCs w:val="false"/>
                <w:color w:val="FFFFFF"/>
                <w:sz w:val="28"/>
                <w:szCs w:val="28"/>
              </w:rPr>
              <w:t xml:space="preserve">03</w:t>
            </w:r>
          </w:p>
        </w:tc>
        <w:tc>
          <w:tcPr>
            <w:tcW w:type="dxa" w:w="8660"/>
            <w:tcBorders>
              <w:top w:val="single" w:color="1F4E79" w:sz="3"/>
              <w:left w:val="single" w:color="1F4E79" w:sz="3"/>
              <w:bottom w:val="single" w:color="1F4E79" w:sz="3"/>
              <w:right w:val="single" w:color="1F4E79" w:sz="3"/>
            </w:tcBorders>
            <w:shd w:fill="EBF5FB" w:val="clear"/>
            <w:tcMar>
              <w:top w:type="dxa" w:w="120"/>
              <w:left w:type="dxa" w:w="180"/>
              <w:bottom w:type="dxa" w:w="120"/>
              <w:right w:type="dxa" w:w="120"/>
            </w:tcMar>
            <w:vAlign w:val="center"/>
          </w:tcPr>
          <w:p>
            <w:pPr>
              <w:spacing w:after="80" w:before="80"/>
              <w:jc w:val="left"/>
            </w:pPr>
            <w:r>
              <w:rPr>
                <w:rFonts w:ascii="Arial" w:cs="Arial" w:eastAsia="Arial" w:hAnsi="Arial"/>
                <w:b/>
                <w:bCs/>
                <w:i w:val="false"/>
                <w:iCs w:val="false"/>
                <w:color w:val="7D1B00"/>
                <w:sz w:val="26"/>
                <w:szCs w:val="26"/>
              </w:rPr>
              <w:t xml:space="preserve">Key Subscription Metrics: Churn Rate, NRR &amp; GRR</w:t>
            </w:r>
          </w:p>
        </w:tc>
      </w:tr>
    </w:tbl>
    <w:p>
      <w:pPr>
        <w:spacing w:after="0" w:before="120"/>
        <w:jc w:val="left"/>
      </w:pPr>
      <w:r>
        <w:rPr>
          <w:rFonts w:ascii="Arial" w:cs="Arial" w:eastAsia="Arial" w:hAnsi="Arial"/>
          <w:b w:val="false"/>
          <w:bCs w:val="false"/>
          <w:i w:val="false"/>
          <w:iCs w:val="false"/>
          <w:color w:val="2D2D2D"/>
          <w:sz w:val="22"/>
          <w:szCs w:val="22"/>
        </w:rPr>
        <w:t xml:space="preserve"/>
      </w:r>
    </w:p>
    <w:p>
      <w:pPr>
        <w:pStyle w:val="Heading2"/>
        <w:spacing w:after="100" w:before="280"/>
        <w:jc w:val="left"/>
      </w:pPr>
      <w:r>
        <w:rPr>
          <w:rFonts w:ascii="Arial" w:cs="Arial" w:eastAsia="Arial" w:hAnsi="Arial"/>
          <w:b/>
          <w:bCs/>
          <w:i w:val="false"/>
          <w:iCs w:val="false"/>
          <w:color w:val="2E75B6"/>
          <w:sz w:val="27"/>
          <w:szCs w:val="27"/>
        </w:rPr>
        <w:t xml:space="preserve">3.1  Churn Rate</w:t>
      </w:r>
    </w:p>
    <w:p>
      <w:pPr>
        <w:spacing w:after="60" w:before="60"/>
        <w:jc w:val="left"/>
      </w:pPr>
      <w:r>
        <w:rPr>
          <w:rFonts w:ascii="Arial" w:cs="Arial" w:eastAsia="Arial" w:hAnsi="Arial"/>
          <w:b w:val="false"/>
          <w:bCs w:val="false"/>
          <w:i w:val="false"/>
          <w:iCs w:val="false"/>
          <w:color w:val="2D2D2D"/>
          <w:sz w:val="22"/>
          <w:szCs w:val="22"/>
        </w:rPr>
        <w:t xml:space="preserve">Churn rate measures the percentage of customers or revenue that was lost during a given time period. It is the most feared metric in subscription businesses because it directly erodes ARR and represents value that was not delivered.</w:t>
      </w:r>
    </w:p>
    <w:p>
      <w:pPr>
        <w:spacing w:after="0" w:before="8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3"/>
              <w:left w:val="single" w:color="1F4E79" w:sz="3"/>
              <w:bottom w:val="single" w:color="1F4E79" w:sz="3"/>
              <w:right w:val="single" w:color="1F4E79" w:sz="3"/>
            </w:tcBorders>
            <w:shd w:fill="C0392B"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CUSTOMER
CHURN RATE</w:t>
            </w:r>
          </w:p>
        </w:tc>
        <w:tc>
          <w:tcPr>
            <w:tcW w:type="dxa" w:w="7160"/>
            <w:tcBorders>
              <w:top w:val="single" w:color="1F4E79" w:sz="3"/>
              <w:left w:val="single" w:color="1F4E79" w:sz="3"/>
              <w:bottom w:val="single" w:color="1F4E79" w:sz="3"/>
              <w:right w:val="single" w:color="1F4E79" w:sz="3"/>
            </w:tcBorders>
            <w:shd w:fill="FDEDEC" w:val="clear"/>
            <w:tcMar>
              <w:top w:type="dxa" w:w="100"/>
              <w:left w:type="dxa" w:w="180"/>
              <w:bottom w:type="dxa" w:w="100"/>
              <w:right w:type="dxa" w:w="140"/>
            </w:tcMar>
          </w:tcPr>
          <w:p>
            <w:pPr>
              <w:spacing w:after="80" w:before="80"/>
              <w:jc w:val="left"/>
            </w:pPr>
            <w:r>
              <w:rPr>
                <w:rFonts w:ascii="Arial" w:cs="Arial" w:eastAsia="Arial" w:hAnsi="Arial"/>
                <w:b/>
                <w:bCs/>
                <w:i w:val="false"/>
                <w:iCs w:val="false"/>
                <w:color w:val="C0392B"/>
                <w:sz w:val="22"/>
                <w:szCs w:val="22"/>
              </w:rPr>
              <w:t xml:space="preserve">Customer Churn Rate  =  (Customers Lost in Period  ÷  Customers at Start of Period)  ×  100</w:t>
            </w:r>
          </w:p>
        </w:tc>
      </w:tr>
      <w:tr>
        <w:tc>
          <w:tcPr>
            <w:tcW w:type="dxa" w:w="2200"/>
            <w:tcBorders>
              <w:top w:val="single" w:color="1F4E79" w:sz="3"/>
              <w:left w:val="single" w:color="1F4E79" w:sz="3"/>
              <w:bottom w:val="single" w:color="1F4E79" w:sz="3"/>
              <w:right w:val="single" w:color="1F4E79" w:sz="3"/>
            </w:tcBorders>
            <w:shd w:fill="E74C3C"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REVENUE
CHURN RATE</w:t>
            </w:r>
          </w:p>
        </w:tc>
        <w:tc>
          <w:tcPr>
            <w:tcW w:type="dxa" w:w="7160"/>
            <w:tcBorders>
              <w:top w:val="single" w:color="1F4E79" w:sz="3"/>
              <w:left w:val="single" w:color="1F4E79" w:sz="3"/>
              <w:bottom w:val="single" w:color="1F4E79" w:sz="3"/>
              <w:right w:val="single" w:color="1F4E79" w:sz="3"/>
            </w:tcBorders>
            <w:shd w:fill="FEF5F5" w:val="clear"/>
            <w:tcMar>
              <w:top w:type="dxa" w:w="100"/>
              <w:left w:type="dxa" w:w="180"/>
              <w:bottom w:type="dxa" w:w="100"/>
              <w:right w:type="dxa" w:w="140"/>
            </w:tcMar>
          </w:tcPr>
          <w:p>
            <w:pPr>
              <w:spacing w:after="80" w:before="80"/>
              <w:jc w:val="left"/>
            </w:pPr>
            <w:r>
              <w:rPr>
                <w:rFonts w:ascii="Arial" w:cs="Arial" w:eastAsia="Arial" w:hAnsi="Arial"/>
                <w:b/>
                <w:bCs/>
                <w:i w:val="false"/>
                <w:iCs w:val="false"/>
                <w:color w:val="E74C3C"/>
                <w:sz w:val="22"/>
                <w:szCs w:val="22"/>
              </w:rPr>
              <w:t xml:space="preserve">Revenue Churn Rate  =  (MRR Lost in Period  ÷  MRR at Start of Period)  ×  100</w:t>
            </w:r>
          </w:p>
        </w:tc>
      </w:tr>
    </w:tbl>
    <w:p>
      <w:pPr>
        <w:spacing w:after="0" w:before="100"/>
        <w:jc w:val="left"/>
      </w:pPr>
      <w:r>
        <w:rPr>
          <w:rFonts w:ascii="Arial" w:cs="Arial" w:eastAsia="Arial" w:hAnsi="Arial"/>
          <w:b w:val="false"/>
          <w:bCs w:val="false"/>
          <w:i w:val="false"/>
          <w:iCs w:val="false"/>
          <w:color w:val="2D2D2D"/>
          <w:sz w:val="22"/>
          <w:szCs w:val="22"/>
        </w:rPr>
        <w:t xml:space="preserve"/>
      </w:r>
    </w:p>
    <w:p>
      <w:pPr>
        <w:pStyle w:val="Heading3"/>
        <w:spacing w:after="80" w:before="200"/>
        <w:jc w:val="left"/>
      </w:pPr>
      <w:r>
        <w:rPr>
          <w:rFonts w:ascii="Arial" w:cs="Arial" w:eastAsia="Arial" w:hAnsi="Arial"/>
          <w:b/>
          <w:bCs/>
          <w:i w:val="false"/>
          <w:iCs w:val="false"/>
          <w:color w:val="1A5276"/>
          <w:sz w:val="23"/>
          <w:szCs w:val="23"/>
        </w:rPr>
        <w:t xml:space="preserve">Churn Worked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3"/>
              <w:left w:val="single" w:color="1F4E79" w:sz="3"/>
              <w:bottom w:val="single" w:color="1F4E79" w:sz="3"/>
              <w:right w:val="single" w:color="1F4E79" w:sz="3"/>
            </w:tcBorders>
            <w:shd w:fill="C0392B" w:val="clear"/>
            <w:tcMar>
              <w:top w:type="dxa" w:w="90"/>
              <w:left w:type="dxa" w:w="140"/>
              <w:bottom w:type="dxa" w:w="90"/>
              <w:right w:type="dxa" w:w="140"/>
            </w:tcMar>
          </w:tcPr>
          <w:p>
            <w:pPr>
              <w:spacing w:after="80" w:before="80"/>
              <w:jc w:val="left"/>
            </w:pPr>
            <w:r>
              <w:rPr>
                <w:rFonts w:ascii="Arial" w:cs="Arial" w:eastAsia="Arial" w:hAnsi="Arial"/>
                <w:b/>
                <w:bCs/>
                <w:i w:val="false"/>
                <w:iCs w:val="false"/>
                <w:color w:val="FFFFFF"/>
                <w:sz w:val="20"/>
                <w:szCs w:val="20"/>
              </w:rPr>
              <w:t xml:space="preserve">SCENARIO</w:t>
            </w:r>
          </w:p>
        </w:tc>
        <w:tc>
          <w:tcPr>
            <w:tcW w:type="dxa" w:w="4680"/>
            <w:tcBorders>
              <w:top w:val="single" w:color="1F4E79" w:sz="3"/>
              <w:left w:val="single" w:color="1F4E79" w:sz="3"/>
              <w:bottom w:val="single" w:color="1F4E79" w:sz="3"/>
              <w:right w:val="single" w:color="1F4E79" w:sz="3"/>
            </w:tcBorders>
            <w:shd w:fill="C0392B" w:val="clear"/>
            <w:tcMar>
              <w:top w:type="dxa" w:w="90"/>
              <w:left w:type="dxa" w:w="140"/>
              <w:bottom w:type="dxa" w:w="90"/>
              <w:right w:type="dxa" w:w="140"/>
            </w:tcMar>
          </w:tcPr>
          <w:p>
            <w:pPr>
              <w:spacing w:after="80" w:before="80"/>
              <w:jc w:val="left"/>
            </w:pPr>
            <w:r>
              <w:rPr>
                <w:rFonts w:ascii="Arial" w:cs="Arial" w:eastAsia="Arial" w:hAnsi="Arial"/>
                <w:b/>
                <w:bCs/>
                <w:i w:val="false"/>
                <w:iCs w:val="false"/>
                <w:color w:val="FFFFFF"/>
                <w:sz w:val="20"/>
                <w:szCs w:val="20"/>
              </w:rPr>
              <w:t xml:space="preserve">CHURN CALCULATION</w:t>
            </w:r>
          </w:p>
        </w:tc>
      </w:tr>
      <w:tr>
        <w:tc>
          <w:tcPr>
            <w:tcW w:type="dxa" w:w="4680"/>
            <w:tcBorders>
              <w:top w:val="single" w:color="CCCCCC" w:sz="1"/>
              <w:left w:val="single" w:color="CCCCCC" w:sz="1"/>
              <w:bottom w:val="single" w:color="CCCCCC" w:sz="1"/>
              <w:right w:val="single" w:color="CCCCCC" w:sz="1"/>
            </w:tcBorders>
            <w:shd w:fill="FEF2F2" w:val="clear"/>
            <w:tcMar>
              <w:top w:type="dxa" w:w="85"/>
              <w:left w:type="dxa" w:w="140"/>
              <w:bottom w:type="dxa" w:w="85"/>
              <w:right w:type="dxa" w:w="140"/>
            </w:tcMar>
          </w:tcPr>
          <w:p>
            <w:pPr>
              <w:spacing w:after="80" w:before="80"/>
              <w:jc w:val="left"/>
            </w:pPr>
            <w:r>
              <w:rPr>
                <w:rFonts w:ascii="Arial" w:cs="Arial" w:eastAsia="Arial" w:hAnsi="Arial"/>
                <w:b w:val="false"/>
                <w:bCs w:val="false"/>
                <w:i w:val="false"/>
                <w:iCs w:val="false"/>
                <w:color w:val="2D2D2D"/>
                <w:sz w:val="20"/>
                <w:szCs w:val="20"/>
              </w:rPr>
              <w:t xml:space="preserve">Started with 200 customers, 10 cancelled this month</w:t>
            </w:r>
          </w:p>
        </w:tc>
        <w:tc>
          <w:tcPr>
            <w:tcW w:type="dxa" w:w="4680"/>
            <w:tcBorders>
              <w:top w:val="single" w:color="CCCCCC" w:sz="1"/>
              <w:left w:val="single" w:color="CCCCCC" w:sz="1"/>
              <w:bottom w:val="single" w:color="CCCCCC" w:sz="1"/>
              <w:right w:val="single" w:color="CCCCCC" w:sz="1"/>
            </w:tcBorders>
            <w:shd w:fill="FDEDEC" w:val="clear"/>
            <w:tcMar>
              <w:top w:type="dxa" w:w="85"/>
              <w:left w:type="dxa" w:w="140"/>
              <w:bottom w:type="dxa" w:w="85"/>
              <w:right w:type="dxa" w:w="140"/>
            </w:tcMar>
          </w:tcPr>
          <w:p>
            <w:pPr>
              <w:spacing w:after="80" w:before="80"/>
              <w:jc w:val="left"/>
            </w:pPr>
            <w:r>
              <w:rPr>
                <w:rFonts w:ascii="Arial" w:cs="Arial" w:eastAsia="Arial" w:hAnsi="Arial"/>
                <w:b/>
                <w:bCs/>
                <w:i w:val="false"/>
                <w:iCs w:val="false"/>
                <w:color w:val="C0392B"/>
                <w:sz w:val="20"/>
                <w:szCs w:val="20"/>
              </w:rPr>
              <w:t xml:space="preserve">Customer Churn = (10 ÷ 200) × 100 = 5% monthly churn</w:t>
            </w:r>
          </w:p>
        </w:tc>
      </w:tr>
      <w:tr>
        <w:tc>
          <w:tcPr>
            <w:tcW w:type="dxa" w:w="4680"/>
            <w:tcBorders>
              <w:top w:val="single" w:color="CCCCCC" w:sz="1"/>
              <w:left w:val="single" w:color="CCCCCC" w:sz="1"/>
              <w:bottom w:val="single" w:color="CCCCCC" w:sz="1"/>
              <w:right w:val="single" w:color="CCCCCC" w:sz="1"/>
            </w:tcBorders>
            <w:shd w:fill="FFFAFA" w:val="clear"/>
            <w:tcMar>
              <w:top w:type="dxa" w:w="85"/>
              <w:left w:type="dxa" w:w="140"/>
              <w:bottom w:type="dxa" w:w="85"/>
              <w:right w:type="dxa" w:w="140"/>
            </w:tcMar>
          </w:tcPr>
          <w:p>
            <w:pPr>
              <w:spacing w:after="80" w:before="80"/>
              <w:jc w:val="left"/>
            </w:pPr>
            <w:r>
              <w:rPr>
                <w:rFonts w:ascii="Arial" w:cs="Arial" w:eastAsia="Arial" w:hAnsi="Arial"/>
                <w:b w:val="false"/>
                <w:bCs w:val="false"/>
                <w:i w:val="false"/>
                <w:iCs w:val="false"/>
                <w:color w:val="2D2D2D"/>
                <w:sz w:val="20"/>
                <w:szCs w:val="20"/>
              </w:rPr>
              <w:t xml:space="preserve">Started month with $100,000 MRR, lost $4,000 MRR from cancellations</w:t>
            </w:r>
          </w:p>
        </w:tc>
        <w:tc>
          <w:tcPr>
            <w:tcW w:type="dxa" w:w="4680"/>
            <w:tcBorders>
              <w:top w:val="single" w:color="CCCCCC" w:sz="1"/>
              <w:left w:val="single" w:color="CCCCCC" w:sz="1"/>
              <w:bottom w:val="single" w:color="CCCCCC" w:sz="1"/>
              <w:right w:val="single" w:color="CCCCCC" w:sz="1"/>
            </w:tcBorders>
            <w:shd w:fill="FFF5F5" w:val="clear"/>
            <w:tcMar>
              <w:top w:type="dxa" w:w="85"/>
              <w:left w:type="dxa" w:w="140"/>
              <w:bottom w:type="dxa" w:w="85"/>
              <w:right w:type="dxa" w:w="140"/>
            </w:tcMar>
          </w:tcPr>
          <w:p>
            <w:pPr>
              <w:spacing w:after="80" w:before="80"/>
              <w:jc w:val="left"/>
            </w:pPr>
            <w:r>
              <w:rPr>
                <w:rFonts w:ascii="Arial" w:cs="Arial" w:eastAsia="Arial" w:hAnsi="Arial"/>
                <w:b/>
                <w:bCs/>
                <w:i w:val="false"/>
                <w:iCs w:val="false"/>
                <w:color w:val="C0392B"/>
                <w:sz w:val="20"/>
                <w:szCs w:val="20"/>
              </w:rPr>
              <w:t xml:space="preserve">Revenue Churn = (4,000 ÷ 100,000) × 100 = 4% monthly revenue churn</w:t>
            </w:r>
          </w:p>
        </w:tc>
      </w:tr>
      <w:tr>
        <w:tc>
          <w:tcPr>
            <w:tcW w:type="dxa" w:w="4680"/>
            <w:tcBorders>
              <w:top w:val="single" w:color="CCCCCC" w:sz="1"/>
              <w:left w:val="single" w:color="CCCCCC" w:sz="1"/>
              <w:bottom w:val="single" w:color="CCCCCC" w:sz="1"/>
              <w:right w:val="single" w:color="CCCCCC" w:sz="1"/>
            </w:tcBorders>
            <w:shd w:fill="FEF2F2" w:val="clear"/>
            <w:tcMar>
              <w:top w:type="dxa" w:w="85"/>
              <w:left w:type="dxa" w:w="140"/>
              <w:bottom w:type="dxa" w:w="85"/>
              <w:right w:type="dxa" w:w="140"/>
            </w:tcMar>
          </w:tcPr>
          <w:p>
            <w:pPr>
              <w:spacing w:after="80" w:before="80"/>
              <w:jc w:val="left"/>
            </w:pPr>
            <w:r>
              <w:rPr>
                <w:rFonts w:ascii="Arial" w:cs="Arial" w:eastAsia="Arial" w:hAnsi="Arial"/>
                <w:b w:val="false"/>
                <w:bCs w:val="false"/>
                <w:i w:val="false"/>
                <w:iCs w:val="false"/>
                <w:color w:val="2D2D2D"/>
                <w:sz w:val="20"/>
                <w:szCs w:val="20"/>
              </w:rPr>
              <w:t xml:space="preserve">Annual: Started year with 500 customers, 60 churned total</w:t>
            </w:r>
          </w:p>
        </w:tc>
        <w:tc>
          <w:tcPr>
            <w:tcW w:type="dxa" w:w="4680"/>
            <w:tcBorders>
              <w:top w:val="single" w:color="CCCCCC" w:sz="1"/>
              <w:left w:val="single" w:color="CCCCCC" w:sz="1"/>
              <w:bottom w:val="single" w:color="CCCCCC" w:sz="1"/>
              <w:right w:val="single" w:color="CCCCCC" w:sz="1"/>
            </w:tcBorders>
            <w:shd w:fill="FDEDEC" w:val="clear"/>
            <w:tcMar>
              <w:top w:type="dxa" w:w="85"/>
              <w:left w:type="dxa" w:w="140"/>
              <w:bottom w:type="dxa" w:w="85"/>
              <w:right w:type="dxa" w:w="140"/>
            </w:tcMar>
          </w:tcPr>
          <w:p>
            <w:pPr>
              <w:spacing w:after="80" w:before="80"/>
              <w:jc w:val="left"/>
            </w:pPr>
            <w:r>
              <w:rPr>
                <w:rFonts w:ascii="Arial" w:cs="Arial" w:eastAsia="Arial" w:hAnsi="Arial"/>
                <w:b/>
                <w:bCs/>
                <w:i w:val="false"/>
                <w:iCs w:val="false"/>
                <w:color w:val="C0392B"/>
                <w:sz w:val="20"/>
                <w:szCs w:val="20"/>
              </w:rPr>
              <w:t xml:space="preserve">Annual Churn = (60 ÷ 500) × 100 = 12% annual churn</w:t>
            </w:r>
          </w:p>
        </w:tc>
      </w:tr>
    </w:tbl>
    <w:p>
      <w:pPr>
        <w:spacing w:after="0" w:before="100"/>
        <w:jc w:val="left"/>
      </w:pPr>
      <w:r>
        <w:rPr>
          <w:rFonts w:ascii="Arial" w:cs="Arial" w:eastAsia="Arial" w:hAnsi="Arial"/>
          <w:b w:val="false"/>
          <w:bCs w:val="false"/>
          <w:i w:val="false"/>
          <w:iCs w:val="false"/>
          <w:color w:val="2D2D2D"/>
          <w:sz w:val="22"/>
          <w:szCs w:val="22"/>
        </w:rPr>
        <w:t xml:space="preserve"/>
      </w:r>
    </w:p>
    <w:p>
      <w:pPr>
        <w:pStyle w:val="Heading3"/>
        <w:spacing w:after="80" w:before="200"/>
        <w:jc w:val="left"/>
      </w:pPr>
      <w:r>
        <w:rPr>
          <w:rFonts w:ascii="Arial" w:cs="Arial" w:eastAsia="Arial" w:hAnsi="Arial"/>
          <w:b/>
          <w:bCs/>
          <w:i w:val="false"/>
          <w:iCs w:val="false"/>
          <w:color w:val="1A5276"/>
          <w:sz w:val="23"/>
          <w:szCs w:val="23"/>
        </w:rPr>
        <w:t xml:space="preserve">What Is a Good Churn Rate? — Benchmarks:</w:t>
      </w:r>
    </w:p>
    <w:p>
      <w:pPr>
        <w:pStyle w:val="ListParagraph"/>
        <w:numPr>
          <w:ilvl w:val="0"/>
          <w:numId w:val="2"/>
        </w:numPr>
        <w:spacing w:after="50" w:before="50"/>
      </w:pPr>
      <w:r>
        <w:rPr>
          <w:rFonts w:ascii="Arial" w:cs="Arial" w:eastAsia="Arial" w:hAnsi="Arial"/>
          <w:b w:val="false"/>
          <w:bCs w:val="false"/>
          <w:i w:val="false"/>
          <w:iCs w:val="false"/>
          <w:color w:val="2D2D2D"/>
          <w:sz w:val="21"/>
          <w:szCs w:val="21"/>
        </w:rPr>
        <w:t xml:space="preserve">World-class SaaS: &lt; 1% monthly churn (&lt; 12% annually)</w:t>
      </w:r>
    </w:p>
    <w:p>
      <w:pPr>
        <w:pStyle w:val="ListParagraph"/>
        <w:numPr>
          <w:ilvl w:val="0"/>
          <w:numId w:val="2"/>
        </w:numPr>
        <w:spacing w:after="50" w:before="50"/>
      </w:pPr>
      <w:r>
        <w:rPr>
          <w:rFonts w:ascii="Arial" w:cs="Arial" w:eastAsia="Arial" w:hAnsi="Arial"/>
          <w:b w:val="false"/>
          <w:bCs w:val="false"/>
          <w:i w:val="false"/>
          <w:iCs w:val="false"/>
          <w:color w:val="2D2D2D"/>
          <w:sz w:val="21"/>
          <w:szCs w:val="21"/>
        </w:rPr>
        <w:t xml:space="preserve">Good: 2–3% monthly churn (24–36% annually — still concerning for enterprise)</w:t>
      </w:r>
    </w:p>
    <w:p>
      <w:pPr>
        <w:pStyle w:val="ListParagraph"/>
        <w:numPr>
          <w:ilvl w:val="0"/>
          <w:numId w:val="2"/>
        </w:numPr>
        <w:spacing w:after="50" w:before="50"/>
      </w:pPr>
      <w:r>
        <w:rPr>
          <w:rFonts w:ascii="Arial" w:cs="Arial" w:eastAsia="Arial" w:hAnsi="Arial"/>
          <w:b w:val="false"/>
          <w:bCs w:val="false"/>
          <w:i w:val="false"/>
          <w:iCs w:val="false"/>
          <w:color w:val="2D2D2D"/>
          <w:sz w:val="21"/>
          <w:szCs w:val="21"/>
        </w:rPr>
        <w:t xml:space="preserve">Enterprise software target: &lt; 5% annual churn</w:t>
      </w:r>
    </w:p>
    <w:p>
      <w:pPr>
        <w:pStyle w:val="ListParagraph"/>
        <w:numPr>
          <w:ilvl w:val="0"/>
          <w:numId w:val="2"/>
        </w:numPr>
        <w:spacing w:after="50" w:before="50"/>
      </w:pPr>
      <w:r>
        <w:rPr>
          <w:rFonts w:ascii="Arial" w:cs="Arial" w:eastAsia="Arial" w:hAnsi="Arial"/>
          <w:b w:val="false"/>
          <w:bCs w:val="false"/>
          <w:i w:val="false"/>
          <w:iCs w:val="false"/>
          <w:color w:val="2D2D2D"/>
          <w:sz w:val="21"/>
          <w:szCs w:val="21"/>
        </w:rPr>
        <w:t xml:space="preserve">Cisco CSM alert threshold: varies by segment; any significant decline in usage is a leading indicator of upcoming churn</w:t>
      </w:r>
    </w:p>
    <w:p>
      <w:pPr>
        <w:spacing w:after="0" w:before="8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single" w:color="1F4E79" w:sz="3"/>
              <w:bottom w:val="single" w:color="1F4E79" w:sz="3"/>
              <w:right w:val="single" w:color="1F4E79" w:sz="3"/>
            </w:tcBorders>
            <w:shd w:fill="1F4E79" w:val="clear"/>
            <w:tcMar>
              <w:top w:type="dxa" w:w="80"/>
              <w:left w:type="dxa" w:w="180"/>
              <w:bottom w:type="dxa" w:w="80"/>
              <w:right w:type="dxa" w:w="180"/>
            </w:tcMar>
          </w:tcPr>
          <w:p>
            <w:pPr>
              <w:spacing w:after="80" w:before="80"/>
              <w:jc w:val="left"/>
            </w:pPr>
            <w:r>
              <w:rPr>
                <w:rFonts w:ascii="Arial" w:cs="Arial" w:eastAsia="Arial" w:hAnsi="Arial"/>
                <w:b/>
                <w:bCs/>
                <w:i w:val="false"/>
                <w:iCs w:val="false"/>
                <w:color w:val="FFFFFF"/>
                <w:sz w:val="20"/>
                <w:szCs w:val="20"/>
              </w:rPr>
              <w:t xml:space="preserve">EXAM TIP — Churn Types</w:t>
            </w:r>
          </w:p>
        </w:tc>
      </w:tr>
      <w:tr>
        <w:tc>
          <w:tcPr>
            <w:tcW w:type="dxa" w:w="9360"/>
            <w:tcBorders>
              <w:top w:val="single" w:color="1F4E79" w:sz="3"/>
              <w:left w:val="single" w:color="1F4E79" w:sz="3"/>
              <w:bottom w:val="single" w:color="1F4E79" w:sz="3"/>
              <w:right w:val="single" w:color="1F4E79" w:sz="3"/>
            </w:tcBorders>
            <w:shd w:fill="FFF3CD" w:val="clear"/>
            <w:tcMar>
              <w:top w:type="dxa" w:w="120"/>
              <w:left w:type="dxa" w:w="200"/>
              <w:bottom w:type="dxa" w:w="120"/>
              <w:right w:type="dxa" w:w="200"/>
            </w:tcMar>
          </w:tcPr>
          <w:p>
            <w:pPr>
              <w:spacing w:after="80" w:before="80"/>
              <w:jc w:val="left"/>
            </w:pPr>
            <w:r>
              <w:rPr>
                <w:rFonts w:ascii="Arial" w:cs="Arial" w:eastAsia="Arial" w:hAnsi="Arial"/>
                <w:b w:val="false"/>
                <w:bCs w:val="false"/>
                <w:i w:val="false"/>
                <w:iCs w:val="false"/>
                <w:color w:val="7D4E00"/>
                <w:sz w:val="21"/>
                <w:szCs w:val="21"/>
              </w:rPr>
              <w:t xml:space="preserve">EXAM TIP: The exam may distinguish between Customer Churn (number of accounts lost) and Revenue Churn (MRR/ARR lost). A company could lose many small customers (high customer churn) but retain most revenue (low revenue churn) if large customers stay. CSMs prioritize based on ARR at risk.</w:t>
            </w:r>
          </w:p>
        </w:tc>
      </w:tr>
    </w:tbl>
    <w:p>
      <w:pPr>
        <w:spacing w:after="0" w:before="160"/>
        <w:jc w:val="left"/>
      </w:pPr>
      <w:r>
        <w:rPr>
          <w:rFonts w:ascii="Arial" w:cs="Arial" w:eastAsia="Arial" w:hAnsi="Arial"/>
          <w:b w:val="false"/>
          <w:bCs w:val="false"/>
          <w:i w:val="false"/>
          <w:iCs w:val="false"/>
          <w:color w:val="2D2D2D"/>
          <w:sz w:val="22"/>
          <w:szCs w:val="22"/>
        </w:rPr>
        <w:t xml:space="preserve"/>
      </w:r>
    </w:p>
    <w:p>
      <w:pPr>
        <w:pStyle w:val="Heading2"/>
        <w:spacing w:after="100" w:before="280"/>
        <w:jc w:val="left"/>
      </w:pPr>
      <w:r>
        <w:rPr>
          <w:rFonts w:ascii="Arial" w:cs="Arial" w:eastAsia="Arial" w:hAnsi="Arial"/>
          <w:b/>
          <w:bCs/>
          <w:i w:val="false"/>
          <w:iCs w:val="false"/>
          <w:color w:val="2E75B6"/>
          <w:sz w:val="27"/>
          <w:szCs w:val="27"/>
        </w:rPr>
        <w:t xml:space="preserve">3.2  Net Revenue Retention (NRR)</w:t>
      </w:r>
    </w:p>
    <w:p>
      <w:pPr>
        <w:spacing w:after="60" w:before="60"/>
        <w:jc w:val="left"/>
      </w:pPr>
      <w:r>
        <w:rPr>
          <w:rFonts w:ascii="Arial" w:cs="Arial" w:eastAsia="Arial" w:hAnsi="Arial"/>
          <w:b w:val="false"/>
          <w:bCs w:val="false"/>
          <w:i w:val="false"/>
          <w:iCs w:val="false"/>
          <w:color w:val="2D2D2D"/>
          <w:sz w:val="22"/>
          <w:szCs w:val="22"/>
        </w:rPr>
        <w:t xml:space="preserve">NRR (also called Net Dollar Retention / NDR) is arguably the most important health metric in a subscription business. It measures how much revenue you retain AND grow from existing customers over a period, including the impact of expansions, contractions, and churn. NRR above 100% means the existing customer base is growing without any new customers.</w:t>
      </w:r>
    </w:p>
    <w:p>
      <w:pPr>
        <w:spacing w:after="0" w:before="8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3"/>
              <w:left w:val="single" w:color="1F4E79" w:sz="3"/>
              <w:bottom w:val="single" w:color="1F4E79" w:sz="3"/>
              <w:right w:val="single" w:color="1F4E79" w:sz="3"/>
            </w:tcBorders>
            <w:shd w:fill="1A5276"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FORMULA</w:t>
            </w:r>
          </w:p>
        </w:tc>
        <w:tc>
          <w:tcPr>
            <w:tcW w:type="dxa" w:w="7160"/>
            <w:tcBorders>
              <w:top w:val="single" w:color="1F4E79" w:sz="3"/>
              <w:left w:val="single" w:color="1F4E79" w:sz="3"/>
              <w:bottom w:val="single" w:color="1F4E79" w:sz="3"/>
              <w:right w:val="single" w:color="1F4E79" w:sz="3"/>
            </w:tcBorders>
            <w:shd w:fill="EBF5FB" w:val="clear"/>
            <w:tcMar>
              <w:top w:type="dxa" w:w="100"/>
              <w:left w:type="dxa" w:w="180"/>
              <w:bottom w:type="dxa" w:w="100"/>
              <w:right w:type="dxa" w:w="140"/>
            </w:tcMar>
          </w:tcPr>
          <w:p>
            <w:pPr>
              <w:spacing w:after="80" w:before="80"/>
              <w:jc w:val="left"/>
            </w:pPr>
            <w:r>
              <w:rPr>
                <w:rFonts w:ascii="Arial" w:cs="Arial" w:eastAsia="Arial" w:hAnsi="Arial"/>
                <w:b/>
                <w:bCs/>
                <w:i w:val="false"/>
                <w:iCs w:val="false"/>
                <w:color w:val="1A5276"/>
                <w:sz w:val="21"/>
                <w:szCs w:val="21"/>
              </w:rPr>
              <w:t xml:space="preserve">NRR  =  [(Starting MRR + Expansion MRR - Churned MRR - Contraction MRR)  ÷  Starting MRR]  ×  100</w:t>
            </w:r>
          </w:p>
        </w:tc>
      </w:tr>
    </w:tbl>
    <w:p>
      <w:pPr>
        <w:spacing w:after="0" w:before="100"/>
        <w:jc w:val="left"/>
      </w:pPr>
      <w:r>
        <w:rPr>
          <w:rFonts w:ascii="Arial" w:cs="Arial" w:eastAsia="Arial" w:hAnsi="Arial"/>
          <w:b w:val="false"/>
          <w:bCs w:val="false"/>
          <w:i w:val="false"/>
          <w:iCs w:val="false"/>
          <w:color w:val="2D2D2D"/>
          <w:sz w:val="22"/>
          <w:szCs w:val="22"/>
        </w:rPr>
        <w:t xml:space="preserve"/>
      </w:r>
    </w:p>
    <w:p>
      <w:pPr>
        <w:pStyle w:val="Heading3"/>
        <w:spacing w:after="80" w:before="200"/>
        <w:jc w:val="left"/>
      </w:pPr>
      <w:r>
        <w:rPr>
          <w:rFonts w:ascii="Arial" w:cs="Arial" w:eastAsia="Arial" w:hAnsi="Arial"/>
          <w:b/>
          <w:bCs/>
          <w:i w:val="false"/>
          <w:iCs w:val="false"/>
          <w:color w:val="1A5276"/>
          <w:sz w:val="23"/>
          <w:szCs w:val="23"/>
        </w:rPr>
        <w:t xml:space="preserve">NRR Interpretation — What the Numbers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60"/>
        <w:gridCol w:w="2600"/>
      </w:tblGrid>
      <w:tr>
        <w:tc>
          <w:tcPr>
            <w:tcW w:type="dxa" w:w="1800"/>
            <w:tcBorders>
              <w:top w:val="single" w:color="1F4E79" w:sz="3"/>
              <w:left w:val="single" w:color="1F4E79" w:sz="3"/>
              <w:bottom w:val="single" w:color="1F4E79" w:sz="3"/>
              <w:right w:val="single" w:color="1F4E79" w:sz="3"/>
            </w:tcBorders>
            <w:shd w:fill="1F4E79" w:val="clear"/>
            <w:tcMar>
              <w:top w:type="dxa" w:w="90"/>
              <w:left w:type="dxa" w:w="120"/>
              <w:bottom w:type="dxa" w:w="90"/>
              <w:right w:type="dxa" w:w="120"/>
            </w:tcMar>
          </w:tcPr>
          <w:p>
            <w:pPr>
              <w:spacing w:after="80" w:before="80"/>
              <w:jc w:val="center"/>
            </w:pPr>
            <w:r>
              <w:rPr>
                <w:rFonts w:ascii="Arial" w:cs="Arial" w:eastAsia="Arial" w:hAnsi="Arial"/>
                <w:b/>
                <w:bCs/>
                <w:i w:val="false"/>
                <w:iCs w:val="false"/>
                <w:color w:val="FFFFFF"/>
                <w:sz w:val="20"/>
                <w:szCs w:val="20"/>
              </w:rPr>
              <w:t xml:space="preserve">NRR Range</w:t>
            </w:r>
          </w:p>
        </w:tc>
        <w:tc>
          <w:tcPr>
            <w:tcW w:type="dxa" w:w="2400"/>
            <w:tcBorders>
              <w:top w:val="single" w:color="1F4E79" w:sz="3"/>
              <w:left w:val="single" w:color="1F4E79" w:sz="3"/>
              <w:bottom w:val="single" w:color="1F4E79" w:sz="3"/>
              <w:right w:val="single" w:color="1F4E79" w:sz="3"/>
            </w:tcBorders>
            <w:shd w:fill="1F4E79" w:val="clear"/>
            <w:tcMar>
              <w:top w:type="dxa" w:w="90"/>
              <w:left w:type="dxa" w:w="120"/>
              <w:bottom w:type="dxa" w:w="90"/>
              <w:right w:type="dxa" w:w="120"/>
            </w:tcMar>
          </w:tcPr>
          <w:p>
            <w:pPr>
              <w:spacing w:after="80" w:before="80"/>
              <w:jc w:val="left"/>
            </w:pPr>
            <w:r>
              <w:rPr>
                <w:rFonts w:ascii="Arial" w:cs="Arial" w:eastAsia="Arial" w:hAnsi="Arial"/>
                <w:b/>
                <w:bCs/>
                <w:i w:val="false"/>
                <w:iCs w:val="false"/>
                <w:color w:val="FFFFFF"/>
                <w:sz w:val="20"/>
                <w:szCs w:val="20"/>
              </w:rPr>
              <w:t xml:space="preserve">Meaning</w:t>
            </w:r>
          </w:p>
        </w:tc>
        <w:tc>
          <w:tcPr>
            <w:tcW w:type="dxa" w:w="2560"/>
            <w:tcBorders>
              <w:top w:val="single" w:color="1F4E79" w:sz="3"/>
              <w:left w:val="single" w:color="1F4E79" w:sz="3"/>
              <w:bottom w:val="single" w:color="1F4E79" w:sz="3"/>
              <w:right w:val="single" w:color="1F4E79" w:sz="3"/>
            </w:tcBorders>
            <w:shd w:fill="1F4E79" w:val="clear"/>
            <w:tcMar>
              <w:top w:type="dxa" w:w="90"/>
              <w:left w:type="dxa" w:w="120"/>
              <w:bottom w:type="dxa" w:w="90"/>
              <w:right w:type="dxa" w:w="120"/>
            </w:tcMar>
          </w:tcPr>
          <w:p>
            <w:pPr>
              <w:spacing w:after="80" w:before="80"/>
              <w:jc w:val="left"/>
            </w:pPr>
            <w:r>
              <w:rPr>
                <w:rFonts w:ascii="Arial" w:cs="Arial" w:eastAsia="Arial" w:hAnsi="Arial"/>
                <w:b/>
                <w:bCs/>
                <w:i w:val="false"/>
                <w:iCs w:val="false"/>
                <w:color w:val="FFFFFF"/>
                <w:sz w:val="20"/>
                <w:szCs w:val="20"/>
              </w:rPr>
              <w:t xml:space="preserve">Business Health</w:t>
            </w:r>
          </w:p>
        </w:tc>
        <w:tc>
          <w:tcPr>
            <w:tcW w:type="dxa" w:w="2600"/>
            <w:tcBorders>
              <w:top w:val="single" w:color="1F4E79" w:sz="3"/>
              <w:left w:val="single" w:color="1F4E79" w:sz="3"/>
              <w:bottom w:val="single" w:color="1F4E79" w:sz="3"/>
              <w:right w:val="single" w:color="1F4E79" w:sz="3"/>
            </w:tcBorders>
            <w:shd w:fill="1F4E79" w:val="clear"/>
            <w:tcMar>
              <w:top w:type="dxa" w:w="90"/>
              <w:left w:type="dxa" w:w="120"/>
              <w:bottom w:type="dxa" w:w="90"/>
              <w:right w:type="dxa" w:w="120"/>
            </w:tcMar>
          </w:tcPr>
          <w:p>
            <w:pPr>
              <w:spacing w:after="80" w:before="80"/>
              <w:jc w:val="left"/>
            </w:pPr>
            <w:r>
              <w:rPr>
                <w:rFonts w:ascii="Arial" w:cs="Arial" w:eastAsia="Arial" w:hAnsi="Arial"/>
                <w:b/>
                <w:bCs/>
                <w:i w:val="false"/>
                <w:iCs w:val="false"/>
                <w:color w:val="FFFFFF"/>
                <w:sz w:val="20"/>
                <w:szCs w:val="20"/>
              </w:rPr>
              <w:t xml:space="preserve">CSM Signal</w:t>
            </w:r>
          </w:p>
        </w:tc>
      </w:tr>
      <w:tr>
        <w:tc>
          <w:tcPr>
            <w:tcW w:type="dxa" w:w="1800"/>
            <w:tcBorders>
              <w:top w:val="single" w:color="CCCCCC" w:sz="1"/>
              <w:left w:val="single" w:color="CCCCCC" w:sz="1"/>
              <w:bottom w:val="single" w:color="CCCCCC" w:sz="1"/>
              <w:right w:val="single" w:color="CCCCCC" w:sz="1"/>
            </w:tcBorders>
            <w:shd w:fill="D5F5E3" w:val="clear"/>
            <w:tcMar>
              <w:top w:type="dxa" w:w="85"/>
              <w:left w:type="dxa" w:w="120"/>
              <w:bottom w:type="dxa" w:w="85"/>
              <w:right w:type="dxa" w:w="120"/>
            </w:tcMar>
          </w:tcPr>
          <w:p>
            <w:pPr>
              <w:spacing w:after="80" w:before="80"/>
              <w:jc w:val="left"/>
            </w:pPr>
            <w:r>
              <w:rPr>
                <w:rFonts w:ascii="Arial" w:cs="Arial" w:eastAsia="Arial" w:hAnsi="Arial"/>
                <w:b/>
                <w:bCs/>
                <w:i w:val="false"/>
                <w:iCs w:val="false"/>
                <w:color w:val="1A7040"/>
                <w:sz w:val="21"/>
                <w:szCs w:val="21"/>
              </w:rPr>
              <w:t xml:space="preserve">&gt; 120%</w:t>
            </w:r>
          </w:p>
        </w:tc>
        <w:tc>
          <w:tcPr>
            <w:tcW w:type="dxa" w:w="2400"/>
            <w:tcBorders>
              <w:top w:val="single" w:color="CCCCCC" w:sz="1"/>
              <w:left w:val="single" w:color="CCCCCC" w:sz="1"/>
              <w:bottom w:val="single" w:color="CCCCCC" w:sz="1"/>
              <w:right w:val="single" w:color="CCCCCC" w:sz="1"/>
            </w:tcBorders>
            <w:shd w:fill="FAFAFA" w:val="clear"/>
            <w:tcMar>
              <w:top w:type="dxa" w:w="85"/>
              <w:left w:type="dxa" w:w="120"/>
              <w:bottom w:type="dxa" w:w="85"/>
              <w:right w:type="dxa" w:w="120"/>
            </w:tcMar>
          </w:tcPr>
          <w:p>
            <w:pPr>
              <w:spacing w:after="80" w:before="80"/>
              <w:jc w:val="left"/>
            </w:pPr>
            <w:r>
              <w:rPr>
                <w:rFonts w:ascii="Arial" w:cs="Arial" w:eastAsia="Arial" w:hAnsi="Arial"/>
                <w:b w:val="false"/>
                <w:bCs w:val="false"/>
                <w:i w:val="false"/>
                <w:iCs w:val="false"/>
                <w:color w:val="2D2D2D"/>
                <w:sz w:val="20"/>
                <w:szCs w:val="20"/>
              </w:rPr>
              <w:t xml:space="preserve">Exceptional expansion — existing base growing fast</w:t>
            </w:r>
          </w:p>
        </w:tc>
        <w:tc>
          <w:tcPr>
            <w:tcW w:type="dxa" w:w="2560"/>
            <w:tcBorders>
              <w:top w:val="single" w:color="CCCCCC" w:sz="1"/>
              <w:left w:val="single" w:color="CCCCCC" w:sz="1"/>
              <w:bottom w:val="single" w:color="CCCCCC" w:sz="1"/>
              <w:right w:val="single" w:color="CCCCCC" w:sz="1"/>
            </w:tcBorders>
            <w:shd w:fill="F7FFFE" w:val="clear"/>
            <w:tcMar>
              <w:top w:type="dxa" w:w="85"/>
              <w:left w:type="dxa" w:w="120"/>
              <w:bottom w:type="dxa" w:w="85"/>
              <w:right w:type="dxa" w:w="120"/>
            </w:tcMar>
          </w:tcPr>
          <w:p>
            <w:pPr>
              <w:spacing w:after="80" w:before="80"/>
              <w:jc w:val="left"/>
            </w:pPr>
            <w:r>
              <w:rPr>
                <w:rFonts w:ascii="Arial" w:cs="Arial" w:eastAsia="Arial" w:hAnsi="Arial"/>
                <w:b/>
                <w:bCs/>
                <w:i w:val="false"/>
                <w:iCs w:val="false"/>
                <w:color w:val="1A7040"/>
                <w:sz w:val="20"/>
                <w:szCs w:val="20"/>
              </w:rPr>
              <w:t xml:space="preserve">World-class</w:t>
            </w:r>
          </w:p>
        </w:tc>
        <w:tc>
          <w:tcPr>
            <w:tcW w:type="dxa" w:w="2600"/>
            <w:tcBorders>
              <w:top w:val="single" w:color="CCCCCC" w:sz="1"/>
              <w:left w:val="single" w:color="CCCCCC" w:sz="1"/>
              <w:bottom w:val="single" w:color="CCCCCC" w:sz="1"/>
              <w:right w:val="single" w:color="CCCCCC" w:sz="1"/>
            </w:tcBorders>
            <w:shd w:fill="F8FBFF" w:val="clear"/>
            <w:tcMar>
              <w:top w:type="dxa" w:w="85"/>
              <w:left w:type="dxa" w:w="120"/>
              <w:bottom w:type="dxa" w:w="85"/>
              <w:right w:type="dxa" w:w="120"/>
            </w:tcMar>
          </w:tcPr>
          <w:p>
            <w:pPr>
              <w:spacing w:after="80" w:before="80"/>
              <w:jc w:val="left"/>
            </w:pPr>
            <w:r>
              <w:rPr>
                <w:rFonts w:ascii="Arial" w:cs="Arial" w:eastAsia="Arial" w:hAnsi="Arial"/>
                <w:b w:val="false"/>
                <w:bCs w:val="false"/>
                <w:i/>
                <w:iCs/>
                <w:color w:val="444444"/>
                <w:sz w:val="20"/>
                <w:szCs w:val="20"/>
              </w:rPr>
              <w:t xml:space="preserve">Customers expanding well beyond initial purchase</w:t>
            </w:r>
          </w:p>
        </w:tc>
      </w:tr>
      <w:tr>
        <w:tc>
          <w:tcPr>
            <w:tcW w:type="dxa" w:w="1800"/>
            <w:tcBorders>
              <w:top w:val="single" w:color="CCCCCC" w:sz="1"/>
              <w:left w:val="single" w:color="CCCCCC" w:sz="1"/>
              <w:bottom w:val="single" w:color="CCCCCC" w:sz="1"/>
              <w:right w:val="single" w:color="CCCCCC" w:sz="1"/>
            </w:tcBorders>
            <w:shd w:fill="EBF5FB" w:val="clear"/>
            <w:tcMar>
              <w:top w:type="dxa" w:w="85"/>
              <w:left w:type="dxa" w:w="120"/>
              <w:bottom w:type="dxa" w:w="85"/>
              <w:right w:type="dxa" w:w="120"/>
            </w:tcMar>
          </w:tcPr>
          <w:p>
            <w:pPr>
              <w:spacing w:after="80" w:before="80"/>
              <w:jc w:val="left"/>
            </w:pPr>
            <w:r>
              <w:rPr>
                <w:rFonts w:ascii="Arial" w:cs="Arial" w:eastAsia="Arial" w:hAnsi="Arial"/>
                <w:b/>
                <w:bCs/>
                <w:i w:val="false"/>
                <w:iCs w:val="false"/>
                <w:color w:val="1A5276"/>
                <w:sz w:val="21"/>
                <w:szCs w:val="21"/>
              </w:rPr>
              <w:t xml:space="preserve">100–120%</w:t>
            </w:r>
          </w:p>
        </w:tc>
        <w:tc>
          <w:tcPr>
            <w:tcW w:type="dxa" w:w="24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pPr>
              <w:spacing w:after="80" w:before="80"/>
              <w:jc w:val="left"/>
            </w:pPr>
            <w:r>
              <w:rPr>
                <w:rFonts w:ascii="Arial" w:cs="Arial" w:eastAsia="Arial" w:hAnsi="Arial"/>
                <w:b w:val="false"/>
                <w:bCs w:val="false"/>
                <w:i w:val="false"/>
                <w:iCs w:val="false"/>
                <w:color w:val="2D2D2D"/>
                <w:sz w:val="20"/>
                <w:szCs w:val="20"/>
              </w:rPr>
              <w:t xml:space="preserve">Expansion exceeds churn — net positive growth</w:t>
            </w:r>
          </w:p>
        </w:tc>
        <w:tc>
          <w:tcPr>
            <w:tcW w:type="dxa" w:w="2560"/>
            <w:tcBorders>
              <w:top w:val="single" w:color="CCCCCC" w:sz="1"/>
              <w:left w:val="single" w:color="CCCCCC" w:sz="1"/>
              <w:bottom w:val="single" w:color="CCCCCC" w:sz="1"/>
              <w:right w:val="single" w:color="CCCCCC" w:sz="1"/>
            </w:tcBorders>
            <w:shd w:fill="FEFFFF" w:val="clear"/>
            <w:tcMar>
              <w:top w:type="dxa" w:w="85"/>
              <w:left w:type="dxa" w:w="120"/>
              <w:bottom w:type="dxa" w:w="85"/>
              <w:right w:type="dxa" w:w="120"/>
            </w:tcMar>
          </w:tcPr>
          <w:p>
            <w:pPr>
              <w:spacing w:after="80" w:before="80"/>
              <w:jc w:val="left"/>
            </w:pPr>
            <w:r>
              <w:rPr>
                <w:rFonts w:ascii="Arial" w:cs="Arial" w:eastAsia="Arial" w:hAnsi="Arial"/>
                <w:b/>
                <w:bCs/>
                <w:i w:val="false"/>
                <w:iCs w:val="false"/>
                <w:color w:val="1A5276"/>
                <w:sz w:val="20"/>
                <w:szCs w:val="20"/>
              </w:rPr>
              <w:t xml:space="preserve">Healthy</w:t>
            </w:r>
          </w:p>
        </w:tc>
        <w:tc>
          <w:tcPr>
            <w:tcW w:type="dxa" w:w="2600"/>
            <w:tcBorders>
              <w:top w:val="single" w:color="CCCCCC" w:sz="1"/>
              <w:left w:val="single" w:color="CCCCCC" w:sz="1"/>
              <w:bottom w:val="single" w:color="CCCCCC" w:sz="1"/>
              <w:right w:val="single" w:color="CCCCCC" w:sz="1"/>
            </w:tcBorders>
            <w:shd w:fill="FDFEFF" w:val="clear"/>
            <w:tcMar>
              <w:top w:type="dxa" w:w="85"/>
              <w:left w:type="dxa" w:w="120"/>
              <w:bottom w:type="dxa" w:w="85"/>
              <w:right w:type="dxa" w:w="120"/>
            </w:tcMar>
          </w:tcPr>
          <w:p>
            <w:pPr>
              <w:spacing w:after="80" w:before="80"/>
              <w:jc w:val="left"/>
            </w:pPr>
            <w:r>
              <w:rPr>
                <w:rFonts w:ascii="Arial" w:cs="Arial" w:eastAsia="Arial" w:hAnsi="Arial"/>
                <w:b w:val="false"/>
                <w:bCs w:val="false"/>
                <w:i/>
                <w:iCs/>
                <w:color w:val="444444"/>
                <w:sz w:val="20"/>
                <w:szCs w:val="20"/>
              </w:rPr>
              <w:t xml:space="preserve">CSM driving strong adoption and expansion</w:t>
            </w:r>
          </w:p>
        </w:tc>
      </w:tr>
      <w:tr>
        <w:tc>
          <w:tcPr>
            <w:tcW w:type="dxa" w:w="1800"/>
            <w:tcBorders>
              <w:top w:val="single" w:color="CCCCCC" w:sz="1"/>
              <w:left w:val="single" w:color="CCCCCC" w:sz="1"/>
              <w:bottom w:val="single" w:color="CCCCCC" w:sz="1"/>
              <w:right w:val="single" w:color="CCCCCC" w:sz="1"/>
            </w:tcBorders>
            <w:shd w:fill="FEF9E7" w:val="clear"/>
            <w:tcMar>
              <w:top w:type="dxa" w:w="85"/>
              <w:left w:type="dxa" w:w="120"/>
              <w:bottom w:type="dxa" w:w="85"/>
              <w:right w:type="dxa" w:w="120"/>
            </w:tcMar>
          </w:tcPr>
          <w:p>
            <w:pPr>
              <w:spacing w:after="80" w:before="80"/>
              <w:jc w:val="left"/>
            </w:pPr>
            <w:r>
              <w:rPr>
                <w:rFonts w:ascii="Arial" w:cs="Arial" w:eastAsia="Arial" w:hAnsi="Arial"/>
                <w:b/>
                <w:bCs/>
                <w:i w:val="false"/>
                <w:iCs w:val="false"/>
                <w:color w:val="7D6608"/>
                <w:sz w:val="21"/>
                <w:szCs w:val="21"/>
              </w:rPr>
              <w:t xml:space="preserve">= 100%</w:t>
            </w:r>
          </w:p>
        </w:tc>
        <w:tc>
          <w:tcPr>
            <w:tcW w:type="dxa" w:w="2400"/>
            <w:tcBorders>
              <w:top w:val="single" w:color="CCCCCC" w:sz="1"/>
              <w:left w:val="single" w:color="CCCCCC" w:sz="1"/>
              <w:bottom w:val="single" w:color="CCCCCC" w:sz="1"/>
              <w:right w:val="single" w:color="CCCCCC" w:sz="1"/>
            </w:tcBorders>
            <w:shd w:fill="FAFAFA" w:val="clear"/>
            <w:tcMar>
              <w:top w:type="dxa" w:w="85"/>
              <w:left w:type="dxa" w:w="120"/>
              <w:bottom w:type="dxa" w:w="85"/>
              <w:right w:type="dxa" w:w="120"/>
            </w:tcMar>
          </w:tcPr>
          <w:p>
            <w:pPr>
              <w:spacing w:after="80" w:before="80"/>
              <w:jc w:val="left"/>
            </w:pPr>
            <w:r>
              <w:rPr>
                <w:rFonts w:ascii="Arial" w:cs="Arial" w:eastAsia="Arial" w:hAnsi="Arial"/>
                <w:b w:val="false"/>
                <w:bCs w:val="false"/>
                <w:i w:val="false"/>
                <w:iCs w:val="false"/>
                <w:color w:val="2D2D2D"/>
                <w:sz w:val="20"/>
                <w:szCs w:val="20"/>
              </w:rPr>
              <w:t xml:space="preserve">Expansion exactly offsets churn</w:t>
            </w:r>
          </w:p>
        </w:tc>
        <w:tc>
          <w:tcPr>
            <w:tcW w:type="dxa" w:w="2560"/>
            <w:tcBorders>
              <w:top w:val="single" w:color="CCCCCC" w:sz="1"/>
              <w:left w:val="single" w:color="CCCCCC" w:sz="1"/>
              <w:bottom w:val="single" w:color="CCCCCC" w:sz="1"/>
              <w:right w:val="single" w:color="CCCCCC" w:sz="1"/>
            </w:tcBorders>
            <w:shd w:fill="F7FFFE" w:val="clear"/>
            <w:tcMar>
              <w:top w:type="dxa" w:w="85"/>
              <w:left w:type="dxa" w:w="120"/>
              <w:bottom w:type="dxa" w:w="85"/>
              <w:right w:type="dxa" w:w="120"/>
            </w:tcMar>
          </w:tcPr>
          <w:p>
            <w:pPr>
              <w:spacing w:after="80" w:before="80"/>
              <w:jc w:val="left"/>
            </w:pPr>
            <w:r>
              <w:rPr>
                <w:rFonts w:ascii="Arial" w:cs="Arial" w:eastAsia="Arial" w:hAnsi="Arial"/>
                <w:b/>
                <w:bCs/>
                <w:i w:val="false"/>
                <w:iCs w:val="false"/>
                <w:color w:val="7D6608"/>
                <w:sz w:val="20"/>
                <w:szCs w:val="20"/>
              </w:rPr>
              <w:t xml:space="preserve">Neutral — stable but not growing</w:t>
            </w:r>
          </w:p>
        </w:tc>
        <w:tc>
          <w:tcPr>
            <w:tcW w:type="dxa" w:w="2600"/>
            <w:tcBorders>
              <w:top w:val="single" w:color="CCCCCC" w:sz="1"/>
              <w:left w:val="single" w:color="CCCCCC" w:sz="1"/>
              <w:bottom w:val="single" w:color="CCCCCC" w:sz="1"/>
              <w:right w:val="single" w:color="CCCCCC" w:sz="1"/>
            </w:tcBorders>
            <w:shd w:fill="F8FBFF" w:val="clear"/>
            <w:tcMar>
              <w:top w:type="dxa" w:w="85"/>
              <w:left w:type="dxa" w:w="120"/>
              <w:bottom w:type="dxa" w:w="85"/>
              <w:right w:type="dxa" w:w="120"/>
            </w:tcMar>
          </w:tcPr>
          <w:p>
            <w:pPr>
              <w:spacing w:after="80" w:before="80"/>
              <w:jc w:val="left"/>
            </w:pPr>
            <w:r>
              <w:rPr>
                <w:rFonts w:ascii="Arial" w:cs="Arial" w:eastAsia="Arial" w:hAnsi="Arial"/>
                <w:b w:val="false"/>
                <w:bCs w:val="false"/>
                <w:i/>
                <w:iCs/>
                <w:color w:val="444444"/>
                <w:sz w:val="20"/>
                <w:szCs w:val="20"/>
              </w:rPr>
              <w:t xml:space="preserve">Churn matched by expansions — need to improve</w:t>
            </w:r>
          </w:p>
        </w:tc>
      </w:tr>
      <w:tr>
        <w:tc>
          <w:tcPr>
            <w:tcW w:type="dxa" w:w="1800"/>
            <w:tcBorders>
              <w:top w:val="single" w:color="CCCCCC" w:sz="1"/>
              <w:left w:val="single" w:color="CCCCCC" w:sz="1"/>
              <w:bottom w:val="single" w:color="CCCCCC" w:sz="1"/>
              <w:right w:val="single" w:color="CCCCCC" w:sz="1"/>
            </w:tcBorders>
            <w:shd w:fill="FDEDEC" w:val="clear"/>
            <w:tcMar>
              <w:top w:type="dxa" w:w="85"/>
              <w:left w:type="dxa" w:w="120"/>
              <w:bottom w:type="dxa" w:w="85"/>
              <w:right w:type="dxa" w:w="120"/>
            </w:tcMar>
          </w:tcPr>
          <w:p>
            <w:pPr>
              <w:spacing w:after="80" w:before="80"/>
              <w:jc w:val="left"/>
            </w:pPr>
            <w:r>
              <w:rPr>
                <w:rFonts w:ascii="Arial" w:cs="Arial" w:eastAsia="Arial" w:hAnsi="Arial"/>
                <w:b/>
                <w:bCs/>
                <w:i w:val="false"/>
                <w:iCs w:val="false"/>
                <w:color w:val="C0392B"/>
                <w:sz w:val="21"/>
                <w:szCs w:val="21"/>
              </w:rPr>
              <w:t xml:space="preserve">&lt; 100%</w:t>
            </w:r>
          </w:p>
        </w:tc>
        <w:tc>
          <w:tcPr>
            <w:tcW w:type="dxa" w:w="24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pPr>
              <w:spacing w:after="80" w:before="80"/>
              <w:jc w:val="left"/>
            </w:pPr>
            <w:r>
              <w:rPr>
                <w:rFonts w:ascii="Arial" w:cs="Arial" w:eastAsia="Arial" w:hAnsi="Arial"/>
                <w:b w:val="false"/>
                <w:bCs w:val="false"/>
                <w:i w:val="false"/>
                <w:iCs w:val="false"/>
                <w:color w:val="2D2D2D"/>
                <w:sz w:val="20"/>
                <w:szCs w:val="20"/>
              </w:rPr>
              <w:t xml:space="preserve">Churn + contraction exceeds expansion</w:t>
            </w:r>
          </w:p>
        </w:tc>
        <w:tc>
          <w:tcPr>
            <w:tcW w:type="dxa" w:w="2560"/>
            <w:tcBorders>
              <w:top w:val="single" w:color="CCCCCC" w:sz="1"/>
              <w:left w:val="single" w:color="CCCCCC" w:sz="1"/>
              <w:bottom w:val="single" w:color="CCCCCC" w:sz="1"/>
              <w:right w:val="single" w:color="CCCCCC" w:sz="1"/>
            </w:tcBorders>
            <w:shd w:fill="FEFFFF" w:val="clear"/>
            <w:tcMar>
              <w:top w:type="dxa" w:w="85"/>
              <w:left w:type="dxa" w:w="120"/>
              <w:bottom w:type="dxa" w:w="85"/>
              <w:right w:type="dxa" w:w="120"/>
            </w:tcMar>
          </w:tcPr>
          <w:p>
            <w:pPr>
              <w:spacing w:after="80" w:before="80"/>
              <w:jc w:val="left"/>
            </w:pPr>
            <w:r>
              <w:rPr>
                <w:rFonts w:ascii="Arial" w:cs="Arial" w:eastAsia="Arial" w:hAnsi="Arial"/>
                <w:b/>
                <w:bCs/>
                <w:i w:val="false"/>
                <w:iCs w:val="false"/>
                <w:color w:val="C0392B"/>
                <w:sz w:val="20"/>
                <w:szCs w:val="20"/>
              </w:rPr>
              <w:t xml:space="preserve">Declining — urgent action needed</w:t>
            </w:r>
          </w:p>
        </w:tc>
        <w:tc>
          <w:tcPr>
            <w:tcW w:type="dxa" w:w="2600"/>
            <w:tcBorders>
              <w:top w:val="single" w:color="CCCCCC" w:sz="1"/>
              <w:left w:val="single" w:color="CCCCCC" w:sz="1"/>
              <w:bottom w:val="single" w:color="CCCCCC" w:sz="1"/>
              <w:right w:val="single" w:color="CCCCCC" w:sz="1"/>
            </w:tcBorders>
            <w:shd w:fill="FDFEFF" w:val="clear"/>
            <w:tcMar>
              <w:top w:type="dxa" w:w="85"/>
              <w:left w:type="dxa" w:w="120"/>
              <w:bottom w:type="dxa" w:w="85"/>
              <w:right w:type="dxa" w:w="120"/>
            </w:tcMar>
          </w:tcPr>
          <w:p>
            <w:pPr>
              <w:spacing w:after="80" w:before="80"/>
              <w:jc w:val="left"/>
            </w:pPr>
            <w:r>
              <w:rPr>
                <w:rFonts w:ascii="Arial" w:cs="Arial" w:eastAsia="Arial" w:hAnsi="Arial"/>
                <w:b w:val="false"/>
                <w:bCs w:val="false"/>
                <w:i/>
                <w:iCs/>
                <w:color w:val="444444"/>
                <w:sz w:val="20"/>
                <w:szCs w:val="20"/>
              </w:rPr>
              <w:t xml:space="preserve">Significant risk — CSM must intervene immediately</w:t>
            </w:r>
          </w:p>
        </w:tc>
      </w:tr>
    </w:tbl>
    <w:p>
      <w:pPr>
        <w:spacing w:after="0" w:before="100"/>
        <w:jc w:val="left"/>
      </w:pPr>
      <w:r>
        <w:rPr>
          <w:rFonts w:ascii="Arial" w:cs="Arial" w:eastAsia="Arial" w:hAnsi="Arial"/>
          <w:b w:val="false"/>
          <w:bCs w:val="false"/>
          <w:i w:val="false"/>
          <w:iCs w:val="false"/>
          <w:color w:val="2D2D2D"/>
          <w:sz w:val="22"/>
          <w:szCs w:val="22"/>
        </w:rPr>
        <w:t xml:space="preserve"/>
      </w:r>
    </w:p>
    <w:p>
      <w:pPr>
        <w:pStyle w:val="Heading3"/>
        <w:spacing w:after="80" w:before="200"/>
        <w:jc w:val="left"/>
      </w:pPr>
      <w:r>
        <w:rPr>
          <w:rFonts w:ascii="Arial" w:cs="Arial" w:eastAsia="Arial" w:hAnsi="Arial"/>
          <w:b/>
          <w:bCs/>
          <w:i w:val="false"/>
          <w:iCs w:val="false"/>
          <w:color w:val="1A5276"/>
          <w:sz w:val="23"/>
          <w:szCs w:val="23"/>
        </w:rPr>
        <w:t xml:space="preserve">NRR Worked Example:</w:t>
      </w:r>
    </w:p>
    <w:p>
      <w:pPr>
        <w:pStyle w:val="ListParagraph"/>
        <w:numPr>
          <w:ilvl w:val="0"/>
          <w:numId w:val="2"/>
        </w:numPr>
        <w:spacing w:after="50" w:before="50"/>
      </w:pPr>
      <w:r>
        <w:rPr>
          <w:rFonts w:ascii="Arial" w:cs="Arial" w:eastAsia="Arial" w:hAnsi="Arial"/>
          <w:b w:val="false"/>
          <w:bCs w:val="false"/>
          <w:i w:val="false"/>
          <w:iCs w:val="false"/>
          <w:color w:val="2D2D2D"/>
          <w:sz w:val="21"/>
          <w:szCs w:val="21"/>
        </w:rPr>
        <w:t xml:space="preserve">Starting MRR (Jan 1): $100,000</w:t>
      </w:r>
    </w:p>
    <w:p>
      <w:pPr>
        <w:pStyle w:val="ListParagraph"/>
        <w:numPr>
          <w:ilvl w:val="0"/>
          <w:numId w:val="2"/>
        </w:numPr>
        <w:spacing w:after="50" w:before="50"/>
      </w:pPr>
      <w:r>
        <w:rPr>
          <w:rFonts w:ascii="Arial" w:cs="Arial" w:eastAsia="Arial" w:hAnsi="Arial"/>
          <w:b w:val="false"/>
          <w:bCs w:val="false"/>
          <w:i w:val="false"/>
          <w:iCs w:val="false"/>
          <w:color w:val="2D2D2D"/>
          <w:sz w:val="21"/>
          <w:szCs w:val="21"/>
        </w:rPr>
        <w:t xml:space="preserve">Expansion MRR (upsells, new users added by existing customers): +$15,000</w:t>
      </w:r>
    </w:p>
    <w:p>
      <w:pPr>
        <w:pStyle w:val="ListParagraph"/>
        <w:numPr>
          <w:ilvl w:val="0"/>
          <w:numId w:val="2"/>
        </w:numPr>
        <w:spacing w:after="50" w:before="50"/>
      </w:pPr>
      <w:r>
        <w:rPr>
          <w:rFonts w:ascii="Arial" w:cs="Arial" w:eastAsia="Arial" w:hAnsi="Arial"/>
          <w:b w:val="false"/>
          <w:bCs w:val="false"/>
          <w:i w:val="false"/>
          <w:iCs w:val="false"/>
          <w:color w:val="2D2D2D"/>
          <w:sz w:val="21"/>
          <w:szCs w:val="21"/>
        </w:rPr>
        <w:t xml:space="preserve">Churned MRR (cancellations): -$8,000</w:t>
      </w:r>
    </w:p>
    <w:p>
      <w:pPr>
        <w:pStyle w:val="ListParagraph"/>
        <w:numPr>
          <w:ilvl w:val="0"/>
          <w:numId w:val="2"/>
        </w:numPr>
        <w:spacing w:after="50" w:before="50"/>
      </w:pPr>
      <w:r>
        <w:rPr>
          <w:rFonts w:ascii="Arial" w:cs="Arial" w:eastAsia="Arial" w:hAnsi="Arial"/>
          <w:b w:val="false"/>
          <w:bCs w:val="false"/>
          <w:i w:val="false"/>
          <w:iCs w:val="false"/>
          <w:color w:val="2D2D2D"/>
          <w:sz w:val="21"/>
          <w:szCs w:val="21"/>
        </w:rPr>
        <w:t xml:space="preserve">Contraction MRR (downgrades): -$2,000</w:t>
      </w:r>
    </w:p>
    <w:p>
      <w:pPr>
        <w:spacing w:after="0" w:before="6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single" w:color="1F4E79" w:sz="3"/>
              <w:bottom w:val="single" w:color="1F4E79" w:sz="3"/>
              <w:right w:val="single" w:color="1F4E79" w:sz="3"/>
            </w:tcBorders>
            <w:shd w:fill="EBF5FB" w:val="clear"/>
            <w:tcMar>
              <w:top w:type="dxa" w:w="140"/>
              <w:left w:type="dxa" w:w="200"/>
              <w:bottom w:type="dxa" w:w="140"/>
              <w:right w:type="dxa" w:w="200"/>
            </w:tcMar>
          </w:tcPr>
          <w:p>
            <w:pPr>
              <w:spacing w:after="80" w:before="80"/>
              <w:jc w:val="left"/>
            </w:pPr>
            <w:r>
              <w:rPr>
                <w:rFonts w:ascii="Arial" w:cs="Arial" w:eastAsia="Arial" w:hAnsi="Arial"/>
                <w:b/>
                <w:bCs/>
                <w:i w:val="false"/>
                <w:iCs w:val="false"/>
                <w:color w:val="1A5276"/>
                <w:sz w:val="22"/>
                <w:szCs w:val="22"/>
              </w:rPr>
              <w:t xml:space="preserve">NRR  =  [($100,000 + $15,000 - $8,000 - $2,000)  ÷  $100,000]  ×  100</w:t>
            </w:r>
          </w:p>
          <w:p>
            <w:pPr>
              <w:spacing w:after="80" w:before="80"/>
              <w:jc w:val="left"/>
            </w:pPr>
            <w:r>
              <w:rPr>
                <w:rFonts w:ascii="Arial" w:cs="Arial" w:eastAsia="Arial" w:hAnsi="Arial"/>
                <w:b/>
                <w:bCs/>
                <w:i w:val="false"/>
                <w:iCs w:val="false"/>
                <w:color w:val="1F4E79"/>
                <w:sz w:val="26"/>
                <w:szCs w:val="26"/>
              </w:rPr>
              <w:t xml:space="preserve">NRR  =  [$105,000  ÷  $100,000]  ×  100  =  105%</w:t>
            </w:r>
          </w:p>
          <w:p>
            <w:pPr>
              <w:spacing w:after="80" w:before="80"/>
              <w:jc w:val="left"/>
            </w:pPr>
            <w:r>
              <w:rPr>
                <w:rFonts w:ascii="Arial" w:cs="Arial" w:eastAsia="Arial" w:hAnsi="Arial"/>
                <w:b w:val="false"/>
                <w:bCs w:val="false"/>
                <w:i/>
                <w:iCs/>
                <w:color w:val="1A7040"/>
                <w:sz w:val="21"/>
                <w:szCs w:val="21"/>
              </w:rPr>
              <w:t xml:space="preserve">Interpretation: Healthy — existing customers are growing net revenue by 5% even after accounting for all churn and downgrades.</w:t>
            </w:r>
          </w:p>
        </w:tc>
      </w:tr>
    </w:tbl>
    <w:p>
      <w:pPr>
        <w:spacing w:after="0" w:before="160"/>
        <w:jc w:val="left"/>
      </w:pPr>
      <w:r>
        <w:rPr>
          <w:rFonts w:ascii="Arial" w:cs="Arial" w:eastAsia="Arial" w:hAnsi="Arial"/>
          <w:b w:val="false"/>
          <w:bCs w:val="false"/>
          <w:i w:val="false"/>
          <w:iCs w:val="false"/>
          <w:color w:val="2D2D2D"/>
          <w:sz w:val="22"/>
          <w:szCs w:val="22"/>
        </w:rPr>
        <w:t xml:space="preserve"/>
      </w:r>
    </w:p>
    <w:p>
      <w:pPr>
        <w:pStyle w:val="Heading2"/>
        <w:spacing w:after="100" w:before="280"/>
        <w:jc w:val="left"/>
      </w:pPr>
      <w:r>
        <w:rPr>
          <w:rFonts w:ascii="Arial" w:cs="Arial" w:eastAsia="Arial" w:hAnsi="Arial"/>
          <w:b/>
          <w:bCs/>
          <w:i w:val="false"/>
          <w:iCs w:val="false"/>
          <w:color w:val="2E75B6"/>
          <w:sz w:val="27"/>
          <w:szCs w:val="27"/>
        </w:rPr>
        <w:t xml:space="preserve">3.3  Gross Revenue Retention (GRR)</w:t>
      </w:r>
    </w:p>
    <w:p>
      <w:pPr>
        <w:spacing w:after="60" w:before="60"/>
        <w:jc w:val="left"/>
      </w:pPr>
      <w:r>
        <w:rPr>
          <w:rFonts w:ascii="Arial" w:cs="Arial" w:eastAsia="Arial" w:hAnsi="Arial"/>
          <w:b w:val="false"/>
          <w:bCs w:val="false"/>
          <w:i w:val="false"/>
          <w:iCs w:val="false"/>
          <w:color w:val="2D2D2D"/>
          <w:sz w:val="22"/>
          <w:szCs w:val="22"/>
        </w:rPr>
        <w:t xml:space="preserve">GRR measures how much of the starting revenue is retained — but unlike NRR, it excludes expansions. It only accounts for losses (churn + contraction). GRR is always equal to or less than 100% and shows how well the business retains existing revenue without any growth.</w:t>
      </w:r>
    </w:p>
    <w:p>
      <w:pPr>
        <w:spacing w:after="0" w:before="8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3"/>
              <w:left w:val="single" w:color="1F4E79" w:sz="3"/>
              <w:bottom w:val="single" w:color="1F4E79" w:sz="3"/>
              <w:right w:val="single" w:color="1F4E79" w:sz="3"/>
            </w:tcBorders>
            <w:shd w:fill="6C3483"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FORMULA</w:t>
            </w:r>
          </w:p>
        </w:tc>
        <w:tc>
          <w:tcPr>
            <w:tcW w:type="dxa" w:w="7160"/>
            <w:tcBorders>
              <w:top w:val="single" w:color="1F4E79" w:sz="3"/>
              <w:left w:val="single" w:color="1F4E79" w:sz="3"/>
              <w:bottom w:val="single" w:color="1F4E79" w:sz="3"/>
              <w:right w:val="single" w:color="1F4E79" w:sz="3"/>
            </w:tcBorders>
            <w:shd w:fill="F4ECF7" w:val="clear"/>
            <w:tcMar>
              <w:top w:type="dxa" w:w="100"/>
              <w:left w:type="dxa" w:w="180"/>
              <w:bottom w:type="dxa" w:w="100"/>
              <w:right w:type="dxa" w:w="140"/>
            </w:tcMar>
          </w:tcPr>
          <w:p>
            <w:pPr>
              <w:spacing w:after="80" w:before="80"/>
              <w:jc w:val="left"/>
            </w:pPr>
            <w:r>
              <w:rPr>
                <w:rFonts w:ascii="Arial" w:cs="Arial" w:eastAsia="Arial" w:hAnsi="Arial"/>
                <w:b/>
                <w:bCs/>
                <w:i w:val="false"/>
                <w:iCs w:val="false"/>
                <w:color w:val="6C3483"/>
                <w:sz w:val="22"/>
                <w:szCs w:val="22"/>
              </w:rPr>
              <w:t xml:space="preserve">GRR  =  [(Starting MRR - Churned MRR - Contraction MRR)  ÷  Starting MRR]  ×  100</w:t>
            </w:r>
          </w:p>
        </w:tc>
      </w:tr>
      <w:tr>
        <w:tc>
          <w:tcPr>
            <w:tcW w:type="dxa" w:w="2200"/>
            <w:tcBorders>
              <w:top w:val="single" w:color="1F4E79" w:sz="3"/>
              <w:left w:val="single" w:color="1F4E79" w:sz="3"/>
              <w:bottom w:val="single" w:color="1F4E79" w:sz="3"/>
              <w:right w:val="single" w:color="1F4E79" w:sz="3"/>
            </w:tcBorders>
            <w:shd w:fill="7D3C98"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KEY RULE</w:t>
            </w:r>
          </w:p>
        </w:tc>
        <w:tc>
          <w:tcPr>
            <w:tcW w:type="dxa" w:w="7160"/>
            <w:tcBorders>
              <w:top w:val="single" w:color="1F4E79" w:sz="3"/>
              <w:left w:val="single" w:color="1F4E79" w:sz="3"/>
              <w:bottom w:val="single" w:color="1F4E79" w:sz="3"/>
              <w:right w:val="single" w:color="1F4E79" w:sz="3"/>
            </w:tcBorders>
            <w:shd w:fill="F9F0FF" w:val="clear"/>
            <w:tcMar>
              <w:top w:type="dxa" w:w="100"/>
              <w:left w:type="dxa" w:w="180"/>
              <w:bottom w:type="dxa" w:w="100"/>
              <w:right w:type="dxa" w:w="140"/>
            </w:tcMar>
          </w:tcPr>
          <w:p>
            <w:pPr>
              <w:spacing w:after="80" w:before="80"/>
              <w:jc w:val="left"/>
            </w:pPr>
            <w:r>
              <w:rPr>
                <w:rFonts w:ascii="Arial" w:cs="Arial" w:eastAsia="Arial" w:hAnsi="Arial"/>
                <w:b/>
                <w:bCs/>
                <w:i w:val="false"/>
                <w:iCs w:val="false"/>
                <w:color w:val="6C3483"/>
                <w:sz w:val="22"/>
                <w:szCs w:val="22"/>
              </w:rPr>
              <w:t xml:space="preserve">GRR can NEVER exceed 100%. GRR only goes down or stays flat — expansions are NOT included.</w:t>
            </w:r>
          </w:p>
        </w:tc>
      </w:tr>
    </w:tbl>
    <w:p>
      <w:pPr>
        <w:spacing w:after="0" w:before="100"/>
        <w:jc w:val="left"/>
      </w:pPr>
      <w:r>
        <w:rPr>
          <w:rFonts w:ascii="Arial" w:cs="Arial" w:eastAsia="Arial" w:hAnsi="Arial"/>
          <w:b w:val="false"/>
          <w:bCs w:val="false"/>
          <w:i w:val="false"/>
          <w:iCs w:val="false"/>
          <w:color w:val="2D2D2D"/>
          <w:sz w:val="22"/>
          <w:szCs w:val="22"/>
        </w:rPr>
        <w:t xml:space="preserve"/>
      </w:r>
    </w:p>
    <w:p>
      <w:pPr>
        <w:pStyle w:val="Heading3"/>
        <w:spacing w:after="80" w:before="200"/>
        <w:jc w:val="left"/>
      </w:pPr>
      <w:r>
        <w:rPr>
          <w:rFonts w:ascii="Arial" w:cs="Arial" w:eastAsia="Arial" w:hAnsi="Arial"/>
          <w:b/>
          <w:bCs/>
          <w:i w:val="false"/>
          <w:iCs w:val="false"/>
          <w:color w:val="1A5276"/>
          <w:sz w:val="23"/>
          <w:szCs w:val="23"/>
        </w:rPr>
        <w:t xml:space="preserve">GRR Worked Example (using same numbers as NRR):</w:t>
      </w:r>
    </w:p>
    <w:p>
      <w:pPr>
        <w:pStyle w:val="ListParagraph"/>
        <w:numPr>
          <w:ilvl w:val="0"/>
          <w:numId w:val="2"/>
        </w:numPr>
        <w:spacing w:after="50" w:before="50"/>
      </w:pPr>
      <w:r>
        <w:rPr>
          <w:rFonts w:ascii="Arial" w:cs="Arial" w:eastAsia="Arial" w:hAnsi="Arial"/>
          <w:b w:val="false"/>
          <w:bCs w:val="false"/>
          <w:i w:val="false"/>
          <w:iCs w:val="false"/>
          <w:color w:val="2D2D2D"/>
          <w:sz w:val="21"/>
          <w:szCs w:val="21"/>
        </w:rPr>
        <w:t xml:space="preserve">Starting MRR: $100,000  |  Churned MRR: -$8,000  |  Contraction MRR: -$2,000</w:t>
      </w:r>
    </w:p>
    <w:p>
      <w:pPr>
        <w:spacing w:after="0" w:before="6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single" w:color="1F4E79" w:sz="3"/>
              <w:bottom w:val="single" w:color="1F4E79" w:sz="3"/>
              <w:right w:val="single" w:color="1F4E79" w:sz="3"/>
            </w:tcBorders>
            <w:shd w:fill="F4ECF7" w:val="clear"/>
            <w:tcMar>
              <w:top w:type="dxa" w:w="140"/>
              <w:left w:type="dxa" w:w="200"/>
              <w:bottom w:type="dxa" w:w="140"/>
              <w:right w:type="dxa" w:w="200"/>
            </w:tcMar>
          </w:tcPr>
          <w:p>
            <w:pPr>
              <w:spacing w:after="80" w:before="80"/>
              <w:jc w:val="left"/>
            </w:pPr>
            <w:r>
              <w:rPr>
                <w:rFonts w:ascii="Arial" w:cs="Arial" w:eastAsia="Arial" w:hAnsi="Arial"/>
                <w:b/>
                <w:bCs/>
                <w:i w:val="false"/>
                <w:iCs w:val="false"/>
                <w:color w:val="6C3483"/>
                <w:sz w:val="22"/>
                <w:szCs w:val="22"/>
              </w:rPr>
              <w:t xml:space="preserve">GRR  =  [($100,000 - $8,000 - $2,000)  ÷  $100,000]  ×  100</w:t>
            </w:r>
          </w:p>
          <w:p>
            <w:pPr>
              <w:spacing w:after="80" w:before="80"/>
              <w:jc w:val="left"/>
            </w:pPr>
            <w:r>
              <w:rPr>
                <w:rFonts w:ascii="Arial" w:cs="Arial" w:eastAsia="Arial" w:hAnsi="Arial"/>
                <w:b/>
                <w:bCs/>
                <w:i w:val="false"/>
                <w:iCs w:val="false"/>
                <w:color w:val="6C3483"/>
                <w:sz w:val="26"/>
                <w:szCs w:val="26"/>
              </w:rPr>
              <w:t xml:space="preserve">GRR  =  [$90,000  ÷  $100,000]  ×  100  =  90%</w:t>
            </w:r>
          </w:p>
          <w:p>
            <w:pPr>
              <w:spacing w:after="80" w:before="80"/>
              <w:jc w:val="left"/>
            </w:pPr>
            <w:r>
              <w:rPr>
                <w:rFonts w:ascii="Arial" w:cs="Arial" w:eastAsia="Arial" w:hAnsi="Arial"/>
                <w:b w:val="false"/>
                <w:bCs w:val="false"/>
                <w:i/>
                <w:iCs/>
                <w:color w:val="555555"/>
                <w:sz w:val="21"/>
                <w:szCs w:val="21"/>
              </w:rPr>
              <w:t xml:space="preserve">Interpretation: 90% of revenue was retained. 10% was lost to churn and downgrades (before counting expansions).</w:t>
            </w:r>
          </w:p>
        </w:tc>
      </w:tr>
    </w:tbl>
    <w:p>
      <w:pPr>
        <w:spacing w:after="0" w:before="120"/>
        <w:jc w:val="left"/>
      </w:pPr>
      <w:r>
        <w:rPr>
          <w:rFonts w:ascii="Arial" w:cs="Arial" w:eastAsia="Arial" w:hAnsi="Arial"/>
          <w:b w:val="false"/>
          <w:bCs w:val="false"/>
          <w:i w:val="false"/>
          <w:iCs w:val="false"/>
          <w:color w:val="2D2D2D"/>
          <w:sz w:val="22"/>
          <w:szCs w:val="22"/>
        </w:rPr>
        <w:t xml:space="preserve"/>
      </w:r>
    </w:p>
    <w:p>
      <w:pPr>
        <w:pStyle w:val="Heading2"/>
        <w:spacing w:after="100" w:before="280"/>
        <w:jc w:val="left"/>
      </w:pPr>
      <w:r>
        <w:rPr>
          <w:rFonts w:ascii="Arial" w:cs="Arial" w:eastAsia="Arial" w:hAnsi="Arial"/>
          <w:b/>
          <w:bCs/>
          <w:i w:val="false"/>
          <w:iCs w:val="false"/>
          <w:color w:val="2E75B6"/>
          <w:sz w:val="27"/>
          <w:szCs w:val="27"/>
        </w:rPr>
        <w:t xml:space="preserve">3.4  NRR vs. GRR — Critical Comparison for the Exam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F4E79" w:sz="3"/>
              <w:left w:val="single" w:color="1F4E79" w:sz="3"/>
              <w:bottom w:val="single" w:color="1F4E79" w:sz="3"/>
              <w:right w:val="single" w:color="1F4E79" w:sz="3"/>
            </w:tcBorders>
            <w:shd w:fill="1F4E79" w:val="clear"/>
            <w:tcMar>
              <w:top w:type="dxa" w:w="90"/>
              <w:left w:type="dxa" w:w="120"/>
              <w:bottom w:type="dxa" w:w="90"/>
              <w:right w:type="dxa" w:w="120"/>
            </w:tcMar>
          </w:tcPr>
          <w:p>
            <w:pPr>
              <w:spacing w:after="80" w:before="80"/>
              <w:jc w:val="center"/>
            </w:pPr>
            <w:r>
              <w:rPr>
                <w:rFonts w:ascii="Arial" w:cs="Arial" w:eastAsia="Arial" w:hAnsi="Arial"/>
                <w:b/>
                <w:bCs/>
                <w:i w:val="false"/>
                <w:iCs w:val="false"/>
                <w:color w:val="FFFFFF"/>
                <w:sz w:val="20"/>
                <w:szCs w:val="20"/>
              </w:rPr>
              <w:t xml:space="preserve">Factor</w:t>
            </w:r>
          </w:p>
        </w:tc>
        <w:tc>
          <w:tcPr>
            <w:tcW w:type="dxa" w:w="3480"/>
            <w:tcBorders>
              <w:top w:val="single" w:color="1F4E79" w:sz="3"/>
              <w:left w:val="single" w:color="1F4E79" w:sz="3"/>
              <w:bottom w:val="single" w:color="1F4E79" w:sz="3"/>
              <w:right w:val="single" w:color="1F4E79" w:sz="3"/>
            </w:tcBorders>
            <w:shd w:fill="1A5276" w:val="clear"/>
            <w:tcMar>
              <w:top w:type="dxa" w:w="90"/>
              <w:left w:type="dxa" w:w="120"/>
              <w:bottom w:type="dxa" w:w="90"/>
              <w:right w:type="dxa" w:w="120"/>
            </w:tcMar>
          </w:tcPr>
          <w:p>
            <w:pPr>
              <w:spacing w:after="80" w:before="80"/>
              <w:jc w:val="center"/>
            </w:pPr>
            <w:r>
              <w:rPr>
                <w:rFonts w:ascii="Arial" w:cs="Arial" w:eastAsia="Arial" w:hAnsi="Arial"/>
                <w:b/>
                <w:bCs/>
                <w:i w:val="false"/>
                <w:iCs w:val="false"/>
                <w:color w:val="FFFFFF"/>
                <w:sz w:val="20"/>
                <w:szCs w:val="20"/>
              </w:rPr>
              <w:t xml:space="preserve">NRR — Net Revenue Retention</w:t>
            </w:r>
          </w:p>
        </w:tc>
        <w:tc>
          <w:tcPr>
            <w:tcW w:type="dxa" w:w="3480"/>
            <w:tcBorders>
              <w:top w:val="single" w:color="1F4E79" w:sz="3"/>
              <w:left w:val="single" w:color="1F4E79" w:sz="3"/>
              <w:bottom w:val="single" w:color="1F4E79" w:sz="3"/>
              <w:right w:val="single" w:color="1F4E79" w:sz="3"/>
            </w:tcBorders>
            <w:shd w:fill="6C3483" w:val="clear"/>
            <w:tcMar>
              <w:top w:type="dxa" w:w="90"/>
              <w:left w:type="dxa" w:w="120"/>
              <w:bottom w:type="dxa" w:w="90"/>
              <w:right w:type="dxa" w:w="120"/>
            </w:tcMar>
          </w:tcPr>
          <w:p>
            <w:pPr>
              <w:spacing w:after="80" w:before="80"/>
              <w:jc w:val="center"/>
            </w:pPr>
            <w:r>
              <w:rPr>
                <w:rFonts w:ascii="Arial" w:cs="Arial" w:eastAsia="Arial" w:hAnsi="Arial"/>
                <w:b/>
                <w:bCs/>
                <w:i w:val="false"/>
                <w:iCs w:val="false"/>
                <w:color w:val="FFFFFF"/>
                <w:sz w:val="20"/>
                <w:szCs w:val="20"/>
              </w:rPr>
              <w:t xml:space="preserve">GRR — Gross Revenue Retention</w:t>
            </w:r>
          </w:p>
        </w:tc>
      </w:tr>
      <w:tr>
        <w:tc>
          <w:tcPr>
            <w:tcW w:type="dxa" w:w="2400"/>
            <w:tcBorders>
              <w:top w:val="single" w:color="CCCCCC" w:sz="1"/>
              <w:left w:val="single" w:color="CCCCCC" w:sz="1"/>
              <w:bottom w:val="single" w:color="CCCCCC" w:sz="1"/>
              <w:right w:val="single" w:color="CCCCCC" w:sz="1"/>
            </w:tcBorders>
            <w:shd w:fill="EBF5FB" w:val="clear"/>
            <w:tcMar>
              <w:top w:type="dxa" w:w="85"/>
              <w:left w:type="dxa" w:w="120"/>
              <w:bottom w:type="dxa" w:w="85"/>
              <w:right w:type="dxa" w:w="120"/>
            </w:tcMar>
          </w:tcPr>
          <w:p>
            <w:pPr>
              <w:spacing w:after="80" w:before="80"/>
              <w:jc w:val="left"/>
            </w:pPr>
            <w:r>
              <w:rPr>
                <w:rFonts w:ascii="Arial" w:cs="Arial" w:eastAsia="Arial" w:hAnsi="Arial"/>
                <w:b/>
                <w:bCs/>
                <w:i w:val="false"/>
                <w:iCs w:val="false"/>
                <w:color w:val="1F4E79"/>
                <w:sz w:val="20"/>
                <w:szCs w:val="20"/>
              </w:rPr>
              <w:t xml:space="preserve">Includes Expansions?</w:t>
            </w:r>
          </w:p>
        </w:tc>
        <w:tc>
          <w:tcPr>
            <w:tcW w:type="dxa" w:w="3480"/>
            <w:tcBorders>
              <w:top w:val="single" w:color="CCCCCC" w:sz="1"/>
              <w:left w:val="single" w:color="CCCCCC" w:sz="1"/>
              <w:bottom w:val="single" w:color="CCCCCC" w:sz="1"/>
              <w:right w:val="single" w:color="CCCCCC" w:sz="1"/>
            </w:tcBorders>
            <w:shd w:fill="FAFEFF" w:val="clear"/>
            <w:tcMar>
              <w:top w:type="dxa" w:w="85"/>
              <w:left w:type="dxa" w:w="120"/>
              <w:bottom w:type="dxa" w:w="85"/>
              <w:right w:type="dxa" w:w="120"/>
            </w:tcMar>
          </w:tcPr>
          <w:p>
            <w:pPr>
              <w:spacing w:after="80" w:before="80"/>
              <w:jc w:val="left"/>
            </w:pPr>
            <w:r>
              <w:rPr>
                <w:rFonts w:ascii="Arial" w:cs="Arial" w:eastAsia="Arial" w:hAnsi="Arial"/>
                <w:b w:val="false"/>
                <w:bCs w:val="false"/>
                <w:i w:val="false"/>
                <w:iCs w:val="false"/>
                <w:color w:val="2D2D2D"/>
                <w:sz w:val="20"/>
                <w:szCs w:val="20"/>
              </w:rPr>
              <w:t xml:space="preserve">YES — includes upsells &amp; cross-sells</w:t>
            </w:r>
          </w:p>
        </w:tc>
        <w:tc>
          <w:tcPr>
            <w:tcW w:type="dxa" w:w="3480"/>
            <w:tcBorders>
              <w:top w:val="single" w:color="CCCCCC" w:sz="1"/>
              <w:left w:val="single" w:color="CCCCCC" w:sz="1"/>
              <w:bottom w:val="single" w:color="CCCCCC" w:sz="1"/>
              <w:right w:val="single" w:color="CCCCCC" w:sz="1"/>
            </w:tcBorders>
            <w:shd w:fill="FAF0FF" w:val="clear"/>
            <w:tcMar>
              <w:top w:type="dxa" w:w="85"/>
              <w:left w:type="dxa" w:w="120"/>
              <w:bottom w:type="dxa" w:w="85"/>
              <w:right w:type="dxa" w:w="120"/>
            </w:tcMar>
          </w:tcPr>
          <w:p>
            <w:pPr>
              <w:spacing w:after="80" w:before="80"/>
              <w:jc w:val="left"/>
            </w:pPr>
            <w:r>
              <w:rPr>
                <w:rFonts w:ascii="Arial" w:cs="Arial" w:eastAsia="Arial" w:hAnsi="Arial"/>
                <w:b w:val="false"/>
                <w:bCs w:val="false"/>
                <w:i w:val="false"/>
                <w:iCs w:val="false"/>
                <w:color w:val="2D2D2D"/>
                <w:sz w:val="20"/>
                <w:szCs w:val="20"/>
              </w:rPr>
              <w:t xml:space="preserve">NO — only measures losses</w:t>
            </w:r>
          </w:p>
        </w:tc>
      </w:tr>
      <w:tr>
        <w:tc>
          <w:tcPr>
            <w:tcW w:type="dxa" w:w="2400"/>
            <w:tcBorders>
              <w:top w:val="single" w:color="CCCCCC" w:sz="1"/>
              <w:left w:val="single" w:color="CCCCCC" w:sz="1"/>
              <w:bottom w:val="single" w:color="CCCCCC" w:sz="1"/>
              <w:right w:val="single" w:color="CCCCCC" w:sz="1"/>
            </w:tcBorders>
            <w:shd w:fill="F5FAFF" w:val="clear"/>
            <w:tcMar>
              <w:top w:type="dxa" w:w="85"/>
              <w:left w:type="dxa" w:w="120"/>
              <w:bottom w:type="dxa" w:w="85"/>
              <w:right w:type="dxa" w:w="120"/>
            </w:tcMar>
          </w:tcPr>
          <w:p>
            <w:pPr>
              <w:spacing w:after="80" w:before="80"/>
              <w:jc w:val="left"/>
            </w:pPr>
            <w:r>
              <w:rPr>
                <w:rFonts w:ascii="Arial" w:cs="Arial" w:eastAsia="Arial" w:hAnsi="Arial"/>
                <w:b/>
                <w:bCs/>
                <w:i w:val="false"/>
                <w:iCs w:val="false"/>
                <w:color w:val="1F4E79"/>
                <w:sz w:val="20"/>
                <w:szCs w:val="20"/>
              </w:rPr>
              <w:t xml:space="preserve">Maximum Possible Value</w:t>
            </w:r>
          </w:p>
        </w:tc>
        <w:tc>
          <w:tcPr>
            <w:tcW w:type="dxa" w:w="3480"/>
            <w:tcBorders>
              <w:top w:val="single" w:color="CCCCCC" w:sz="1"/>
              <w:left w:val="single" w:color="CCCCCC" w:sz="1"/>
              <w:bottom w:val="single" w:color="CCCCCC" w:sz="1"/>
              <w:right w:val="single" w:color="CCCCCC" w:sz="1"/>
            </w:tcBorders>
            <w:shd w:fill="FDFFFF" w:val="clear"/>
            <w:tcMar>
              <w:top w:type="dxa" w:w="85"/>
              <w:left w:type="dxa" w:w="120"/>
              <w:bottom w:type="dxa" w:w="85"/>
              <w:right w:type="dxa" w:w="120"/>
            </w:tcMar>
          </w:tcPr>
          <w:p>
            <w:pPr>
              <w:spacing w:after="80" w:before="80"/>
              <w:jc w:val="left"/>
            </w:pPr>
            <w:r>
              <w:rPr>
                <w:rFonts w:ascii="Arial" w:cs="Arial" w:eastAsia="Arial" w:hAnsi="Arial"/>
                <w:b w:val="false"/>
                <w:bCs w:val="false"/>
                <w:i w:val="false"/>
                <w:iCs w:val="false"/>
                <w:color w:val="2D2D2D"/>
                <w:sz w:val="20"/>
                <w:szCs w:val="20"/>
              </w:rPr>
              <w:t xml:space="preserve">Can exceed 100% (no upper limit)</w:t>
            </w:r>
          </w:p>
        </w:tc>
        <w:tc>
          <w:tcPr>
            <w:tcW w:type="dxa" w:w="3480"/>
            <w:tcBorders>
              <w:top w:val="single" w:color="CCCCCC" w:sz="1"/>
              <w:left w:val="single" w:color="CCCCCC" w:sz="1"/>
              <w:bottom w:val="single" w:color="CCCCCC" w:sz="1"/>
              <w:right w:val="single" w:color="CCCCCC" w:sz="1"/>
            </w:tcBorders>
            <w:shd w:fill="FDF7FF" w:val="clear"/>
            <w:tcMar>
              <w:top w:type="dxa" w:w="85"/>
              <w:left w:type="dxa" w:w="120"/>
              <w:bottom w:type="dxa" w:w="85"/>
              <w:right w:type="dxa" w:w="120"/>
            </w:tcMar>
          </w:tcPr>
          <w:p>
            <w:pPr>
              <w:spacing w:after="80" w:before="80"/>
              <w:jc w:val="left"/>
            </w:pPr>
            <w:r>
              <w:rPr>
                <w:rFonts w:ascii="Arial" w:cs="Arial" w:eastAsia="Arial" w:hAnsi="Arial"/>
                <w:b w:val="false"/>
                <w:bCs w:val="false"/>
                <w:i w:val="false"/>
                <w:iCs w:val="false"/>
                <w:color w:val="2D2D2D"/>
                <w:sz w:val="20"/>
                <w:szCs w:val="20"/>
              </w:rPr>
              <w:t xml:space="preserve">Cannot exceed 100% (max = 100%)</w:t>
            </w:r>
          </w:p>
        </w:tc>
      </w:tr>
      <w:tr>
        <w:tc>
          <w:tcPr>
            <w:tcW w:type="dxa" w:w="2400"/>
            <w:tcBorders>
              <w:top w:val="single" w:color="CCCCCC" w:sz="1"/>
              <w:left w:val="single" w:color="CCCCCC" w:sz="1"/>
              <w:bottom w:val="single" w:color="CCCCCC" w:sz="1"/>
              <w:right w:val="single" w:color="CCCCCC" w:sz="1"/>
            </w:tcBorders>
            <w:shd w:fill="EBF5FB" w:val="clear"/>
            <w:tcMar>
              <w:top w:type="dxa" w:w="85"/>
              <w:left w:type="dxa" w:w="120"/>
              <w:bottom w:type="dxa" w:w="85"/>
              <w:right w:type="dxa" w:w="120"/>
            </w:tcMar>
          </w:tcPr>
          <w:p>
            <w:pPr>
              <w:spacing w:after="80" w:before="80"/>
              <w:jc w:val="left"/>
            </w:pPr>
            <w:r>
              <w:rPr>
                <w:rFonts w:ascii="Arial" w:cs="Arial" w:eastAsia="Arial" w:hAnsi="Arial"/>
                <w:b/>
                <w:bCs/>
                <w:i w:val="false"/>
                <w:iCs w:val="false"/>
                <w:color w:val="1F4E79"/>
                <w:sz w:val="20"/>
                <w:szCs w:val="20"/>
              </w:rPr>
              <w:t xml:space="preserve">What It Measures</w:t>
            </w:r>
          </w:p>
        </w:tc>
        <w:tc>
          <w:tcPr>
            <w:tcW w:type="dxa" w:w="3480"/>
            <w:tcBorders>
              <w:top w:val="single" w:color="CCCCCC" w:sz="1"/>
              <w:left w:val="single" w:color="CCCCCC" w:sz="1"/>
              <w:bottom w:val="single" w:color="CCCCCC" w:sz="1"/>
              <w:right w:val="single" w:color="CCCCCC" w:sz="1"/>
            </w:tcBorders>
            <w:shd w:fill="FAFEFF" w:val="clear"/>
            <w:tcMar>
              <w:top w:type="dxa" w:w="85"/>
              <w:left w:type="dxa" w:w="120"/>
              <w:bottom w:type="dxa" w:w="85"/>
              <w:right w:type="dxa" w:w="120"/>
            </w:tcMar>
          </w:tcPr>
          <w:p>
            <w:pPr>
              <w:spacing w:after="80" w:before="80"/>
              <w:jc w:val="left"/>
            </w:pPr>
            <w:r>
              <w:rPr>
                <w:rFonts w:ascii="Arial" w:cs="Arial" w:eastAsia="Arial" w:hAnsi="Arial"/>
                <w:b w:val="false"/>
                <w:bCs w:val="false"/>
                <w:i w:val="false"/>
                <w:iCs w:val="false"/>
                <w:color w:val="2D2D2D"/>
                <w:sz w:val="20"/>
                <w:szCs w:val="20"/>
              </w:rPr>
              <w:t xml:space="preserve">Net growth/loss in existing revenue</w:t>
            </w:r>
          </w:p>
        </w:tc>
        <w:tc>
          <w:tcPr>
            <w:tcW w:type="dxa" w:w="3480"/>
            <w:tcBorders>
              <w:top w:val="single" w:color="CCCCCC" w:sz="1"/>
              <w:left w:val="single" w:color="CCCCCC" w:sz="1"/>
              <w:bottom w:val="single" w:color="CCCCCC" w:sz="1"/>
              <w:right w:val="single" w:color="CCCCCC" w:sz="1"/>
            </w:tcBorders>
            <w:shd w:fill="FAF0FF" w:val="clear"/>
            <w:tcMar>
              <w:top w:type="dxa" w:w="85"/>
              <w:left w:type="dxa" w:w="120"/>
              <w:bottom w:type="dxa" w:w="85"/>
              <w:right w:type="dxa" w:w="120"/>
            </w:tcMar>
          </w:tcPr>
          <w:p>
            <w:pPr>
              <w:spacing w:after="80" w:before="80"/>
              <w:jc w:val="left"/>
            </w:pPr>
            <w:r>
              <w:rPr>
                <w:rFonts w:ascii="Arial" w:cs="Arial" w:eastAsia="Arial" w:hAnsi="Arial"/>
                <w:b w:val="false"/>
                <w:bCs w:val="false"/>
                <w:i w:val="false"/>
                <w:iCs w:val="false"/>
                <w:color w:val="2D2D2D"/>
                <w:sz w:val="20"/>
                <w:szCs w:val="20"/>
              </w:rPr>
              <w:t xml:space="preserve">Baseline revenue retention (churn impact)</w:t>
            </w:r>
          </w:p>
        </w:tc>
      </w:tr>
      <w:tr>
        <w:tc>
          <w:tcPr>
            <w:tcW w:type="dxa" w:w="2400"/>
            <w:tcBorders>
              <w:top w:val="single" w:color="CCCCCC" w:sz="1"/>
              <w:left w:val="single" w:color="CCCCCC" w:sz="1"/>
              <w:bottom w:val="single" w:color="CCCCCC" w:sz="1"/>
              <w:right w:val="single" w:color="CCCCCC" w:sz="1"/>
            </w:tcBorders>
            <w:shd w:fill="F5FAFF" w:val="clear"/>
            <w:tcMar>
              <w:top w:type="dxa" w:w="85"/>
              <w:left w:type="dxa" w:w="120"/>
              <w:bottom w:type="dxa" w:w="85"/>
              <w:right w:type="dxa" w:w="120"/>
            </w:tcMar>
          </w:tcPr>
          <w:p>
            <w:pPr>
              <w:spacing w:after="80" w:before="80"/>
              <w:jc w:val="left"/>
            </w:pPr>
            <w:r>
              <w:rPr>
                <w:rFonts w:ascii="Arial" w:cs="Arial" w:eastAsia="Arial" w:hAnsi="Arial"/>
                <w:b/>
                <w:bCs/>
                <w:i w:val="false"/>
                <w:iCs w:val="false"/>
                <w:color w:val="1F4E79"/>
                <w:sz w:val="20"/>
                <w:szCs w:val="20"/>
              </w:rPr>
              <w:t xml:space="preserve">What It Shows</w:t>
            </w:r>
          </w:p>
        </w:tc>
        <w:tc>
          <w:tcPr>
            <w:tcW w:type="dxa" w:w="3480"/>
            <w:tcBorders>
              <w:top w:val="single" w:color="CCCCCC" w:sz="1"/>
              <w:left w:val="single" w:color="CCCCCC" w:sz="1"/>
              <w:bottom w:val="single" w:color="CCCCCC" w:sz="1"/>
              <w:right w:val="single" w:color="CCCCCC" w:sz="1"/>
            </w:tcBorders>
            <w:shd w:fill="FDFFFF" w:val="clear"/>
            <w:tcMar>
              <w:top w:type="dxa" w:w="85"/>
              <w:left w:type="dxa" w:w="120"/>
              <w:bottom w:type="dxa" w:w="85"/>
              <w:right w:type="dxa" w:w="120"/>
            </w:tcMar>
          </w:tcPr>
          <w:p>
            <w:pPr>
              <w:spacing w:after="80" w:before="80"/>
              <w:jc w:val="left"/>
            </w:pPr>
            <w:r>
              <w:rPr>
                <w:rFonts w:ascii="Arial" w:cs="Arial" w:eastAsia="Arial" w:hAnsi="Arial"/>
                <w:b w:val="false"/>
                <w:bCs w:val="false"/>
                <w:i w:val="false"/>
                <w:iCs w:val="false"/>
                <w:color w:val="2D2D2D"/>
                <w:sz w:val="20"/>
                <w:szCs w:val="20"/>
              </w:rPr>
              <w:t xml:space="preserve">Overall health of existing customer base</w:t>
            </w:r>
          </w:p>
        </w:tc>
        <w:tc>
          <w:tcPr>
            <w:tcW w:type="dxa" w:w="3480"/>
            <w:tcBorders>
              <w:top w:val="single" w:color="CCCCCC" w:sz="1"/>
              <w:left w:val="single" w:color="CCCCCC" w:sz="1"/>
              <w:bottom w:val="single" w:color="CCCCCC" w:sz="1"/>
              <w:right w:val="single" w:color="CCCCCC" w:sz="1"/>
            </w:tcBorders>
            <w:shd w:fill="FDF7FF" w:val="clear"/>
            <w:tcMar>
              <w:top w:type="dxa" w:w="85"/>
              <w:left w:type="dxa" w:w="120"/>
              <w:bottom w:type="dxa" w:w="85"/>
              <w:right w:type="dxa" w:w="120"/>
            </w:tcMar>
          </w:tcPr>
          <w:p>
            <w:pPr>
              <w:spacing w:after="80" w:before="80"/>
              <w:jc w:val="left"/>
            </w:pPr>
            <w:r>
              <w:rPr>
                <w:rFonts w:ascii="Arial" w:cs="Arial" w:eastAsia="Arial" w:hAnsi="Arial"/>
                <w:b w:val="false"/>
                <w:bCs w:val="false"/>
                <w:i w:val="false"/>
                <w:iCs w:val="false"/>
                <w:color w:val="2D2D2D"/>
                <w:sz w:val="20"/>
                <w:szCs w:val="20"/>
              </w:rPr>
              <w:t xml:space="preserve">How well you prevent revenue loss</w:t>
            </w:r>
          </w:p>
        </w:tc>
      </w:tr>
      <w:tr>
        <w:tc>
          <w:tcPr>
            <w:tcW w:type="dxa" w:w="2400"/>
            <w:tcBorders>
              <w:top w:val="single" w:color="CCCCCC" w:sz="1"/>
              <w:left w:val="single" w:color="CCCCCC" w:sz="1"/>
              <w:bottom w:val="single" w:color="CCCCCC" w:sz="1"/>
              <w:right w:val="single" w:color="CCCCCC" w:sz="1"/>
            </w:tcBorders>
            <w:shd w:fill="EBF5FB" w:val="clear"/>
            <w:tcMar>
              <w:top w:type="dxa" w:w="85"/>
              <w:left w:type="dxa" w:w="120"/>
              <w:bottom w:type="dxa" w:w="85"/>
              <w:right w:type="dxa" w:w="120"/>
            </w:tcMar>
          </w:tcPr>
          <w:p>
            <w:pPr>
              <w:spacing w:after="80" w:before="80"/>
              <w:jc w:val="left"/>
            </w:pPr>
            <w:r>
              <w:rPr>
                <w:rFonts w:ascii="Arial" w:cs="Arial" w:eastAsia="Arial" w:hAnsi="Arial"/>
                <w:b/>
                <w:bCs/>
                <w:i w:val="false"/>
                <w:iCs w:val="false"/>
                <w:color w:val="1F4E79"/>
                <w:sz w:val="20"/>
                <w:szCs w:val="20"/>
              </w:rPr>
              <w:t xml:space="preserve">Best NRR Benchmark</w:t>
            </w:r>
          </w:p>
        </w:tc>
        <w:tc>
          <w:tcPr>
            <w:tcW w:type="dxa" w:w="3480"/>
            <w:tcBorders>
              <w:top w:val="single" w:color="CCCCCC" w:sz="1"/>
              <w:left w:val="single" w:color="CCCCCC" w:sz="1"/>
              <w:bottom w:val="single" w:color="CCCCCC" w:sz="1"/>
              <w:right w:val="single" w:color="CCCCCC" w:sz="1"/>
            </w:tcBorders>
            <w:shd w:fill="FAFEFF" w:val="clear"/>
            <w:tcMar>
              <w:top w:type="dxa" w:w="85"/>
              <w:left w:type="dxa" w:w="120"/>
              <w:bottom w:type="dxa" w:w="85"/>
              <w:right w:type="dxa" w:w="120"/>
            </w:tcMar>
          </w:tcPr>
          <w:p>
            <w:pPr>
              <w:spacing w:after="80" w:before="80"/>
              <w:jc w:val="left"/>
            </w:pPr>
            <w:r>
              <w:rPr>
                <w:rFonts w:ascii="Arial" w:cs="Arial" w:eastAsia="Arial" w:hAnsi="Arial"/>
                <w:b w:val="false"/>
                <w:bCs w:val="false"/>
                <w:i w:val="false"/>
                <w:iCs w:val="false"/>
                <w:color w:val="2D2D2D"/>
                <w:sz w:val="20"/>
                <w:szCs w:val="20"/>
              </w:rPr>
              <w:t xml:space="preserve">&gt; 110% is excellent; &gt; 120% world-class</w:t>
            </w:r>
          </w:p>
        </w:tc>
        <w:tc>
          <w:tcPr>
            <w:tcW w:type="dxa" w:w="3480"/>
            <w:tcBorders>
              <w:top w:val="single" w:color="CCCCCC" w:sz="1"/>
              <w:left w:val="single" w:color="CCCCCC" w:sz="1"/>
              <w:bottom w:val="single" w:color="CCCCCC" w:sz="1"/>
              <w:right w:val="single" w:color="CCCCCC" w:sz="1"/>
            </w:tcBorders>
            <w:shd w:fill="FAF0FF" w:val="clear"/>
            <w:tcMar>
              <w:top w:type="dxa" w:w="85"/>
              <w:left w:type="dxa" w:w="120"/>
              <w:bottom w:type="dxa" w:w="85"/>
              <w:right w:type="dxa" w:w="120"/>
            </w:tcMar>
          </w:tcPr>
          <w:p>
            <w:pPr>
              <w:spacing w:after="80" w:before="80"/>
              <w:jc w:val="left"/>
            </w:pPr>
            <w:r>
              <w:rPr>
                <w:rFonts w:ascii="Arial" w:cs="Arial" w:eastAsia="Arial" w:hAnsi="Arial"/>
                <w:b w:val="false"/>
                <w:bCs w:val="false"/>
                <w:i w:val="false"/>
                <w:iCs w:val="false"/>
                <w:color w:val="2D2D2D"/>
                <w:sz w:val="20"/>
                <w:szCs w:val="20"/>
              </w:rPr>
              <w:t xml:space="preserve">N/A — use GRR benchmark instead</w:t>
            </w:r>
          </w:p>
        </w:tc>
      </w:tr>
      <w:tr>
        <w:tc>
          <w:tcPr>
            <w:tcW w:type="dxa" w:w="2400"/>
            <w:tcBorders>
              <w:top w:val="single" w:color="CCCCCC" w:sz="1"/>
              <w:left w:val="single" w:color="CCCCCC" w:sz="1"/>
              <w:bottom w:val="single" w:color="CCCCCC" w:sz="1"/>
              <w:right w:val="single" w:color="CCCCCC" w:sz="1"/>
            </w:tcBorders>
            <w:shd w:fill="F5FAFF" w:val="clear"/>
            <w:tcMar>
              <w:top w:type="dxa" w:w="85"/>
              <w:left w:type="dxa" w:w="120"/>
              <w:bottom w:type="dxa" w:w="85"/>
              <w:right w:type="dxa" w:w="120"/>
            </w:tcMar>
          </w:tcPr>
          <w:p>
            <w:pPr>
              <w:spacing w:after="80" w:before="80"/>
              <w:jc w:val="left"/>
            </w:pPr>
            <w:r>
              <w:rPr>
                <w:rFonts w:ascii="Arial" w:cs="Arial" w:eastAsia="Arial" w:hAnsi="Arial"/>
                <w:b/>
                <w:bCs/>
                <w:i w:val="false"/>
                <w:iCs w:val="false"/>
                <w:color w:val="1F4E79"/>
                <w:sz w:val="20"/>
                <w:szCs w:val="20"/>
              </w:rPr>
              <w:t xml:space="preserve">Best GRR Benchmark</w:t>
            </w:r>
          </w:p>
        </w:tc>
        <w:tc>
          <w:tcPr>
            <w:tcW w:type="dxa" w:w="3480"/>
            <w:tcBorders>
              <w:top w:val="single" w:color="CCCCCC" w:sz="1"/>
              <w:left w:val="single" w:color="CCCCCC" w:sz="1"/>
              <w:bottom w:val="single" w:color="CCCCCC" w:sz="1"/>
              <w:right w:val="single" w:color="CCCCCC" w:sz="1"/>
            </w:tcBorders>
            <w:shd w:fill="FDFFFF" w:val="clear"/>
            <w:tcMar>
              <w:top w:type="dxa" w:w="85"/>
              <w:left w:type="dxa" w:w="120"/>
              <w:bottom w:type="dxa" w:w="85"/>
              <w:right w:type="dxa" w:w="120"/>
            </w:tcMar>
          </w:tcPr>
          <w:p>
            <w:pPr>
              <w:spacing w:after="80" w:before="80"/>
              <w:jc w:val="left"/>
            </w:pPr>
            <w:r>
              <w:rPr>
                <w:rFonts w:ascii="Arial" w:cs="Arial" w:eastAsia="Arial" w:hAnsi="Arial"/>
                <w:b w:val="false"/>
                <w:bCs w:val="false"/>
                <w:i w:val="false"/>
                <w:iCs w:val="false"/>
                <w:color w:val="2D2D2D"/>
                <w:sz w:val="20"/>
                <w:szCs w:val="20"/>
              </w:rPr>
              <w:t xml:space="preserve">N/A — use NRR instead</w:t>
            </w:r>
          </w:p>
        </w:tc>
        <w:tc>
          <w:tcPr>
            <w:tcW w:type="dxa" w:w="3480"/>
            <w:tcBorders>
              <w:top w:val="single" w:color="CCCCCC" w:sz="1"/>
              <w:left w:val="single" w:color="CCCCCC" w:sz="1"/>
              <w:bottom w:val="single" w:color="CCCCCC" w:sz="1"/>
              <w:right w:val="single" w:color="CCCCCC" w:sz="1"/>
            </w:tcBorders>
            <w:shd w:fill="FDF7FF" w:val="clear"/>
            <w:tcMar>
              <w:top w:type="dxa" w:w="85"/>
              <w:left w:type="dxa" w:w="120"/>
              <w:bottom w:type="dxa" w:w="85"/>
              <w:right w:type="dxa" w:w="120"/>
            </w:tcMar>
          </w:tcPr>
          <w:p>
            <w:pPr>
              <w:spacing w:after="80" w:before="80"/>
              <w:jc w:val="left"/>
            </w:pPr>
            <w:r>
              <w:rPr>
                <w:rFonts w:ascii="Arial" w:cs="Arial" w:eastAsia="Arial" w:hAnsi="Arial"/>
                <w:b w:val="false"/>
                <w:bCs w:val="false"/>
                <w:i w:val="false"/>
                <w:iCs w:val="false"/>
                <w:color w:val="2D2D2D"/>
                <w:sz w:val="20"/>
                <w:szCs w:val="20"/>
              </w:rPr>
              <w:t xml:space="preserve">85–90%+ is good; &gt; 95% is excellent</w:t>
            </w:r>
          </w:p>
        </w:tc>
      </w:tr>
      <w:tr>
        <w:tc>
          <w:tcPr>
            <w:tcW w:type="dxa" w:w="2400"/>
            <w:tcBorders>
              <w:top w:val="single" w:color="CCCCCC" w:sz="1"/>
              <w:left w:val="single" w:color="CCCCCC" w:sz="1"/>
              <w:bottom w:val="single" w:color="CCCCCC" w:sz="1"/>
              <w:right w:val="single" w:color="CCCCCC" w:sz="1"/>
            </w:tcBorders>
            <w:shd w:fill="EBF5FB" w:val="clear"/>
            <w:tcMar>
              <w:top w:type="dxa" w:w="85"/>
              <w:left w:type="dxa" w:w="120"/>
              <w:bottom w:type="dxa" w:w="85"/>
              <w:right w:type="dxa" w:w="120"/>
            </w:tcMar>
          </w:tcPr>
          <w:p>
            <w:pPr>
              <w:spacing w:after="80" w:before="80"/>
              <w:jc w:val="left"/>
            </w:pPr>
            <w:r>
              <w:rPr>
                <w:rFonts w:ascii="Arial" w:cs="Arial" w:eastAsia="Arial" w:hAnsi="Arial"/>
                <w:b/>
                <w:bCs/>
                <w:i w:val="false"/>
                <w:iCs w:val="false"/>
                <w:color w:val="1F4E79"/>
                <w:sz w:val="20"/>
                <w:szCs w:val="20"/>
              </w:rPr>
              <w:t xml:space="preserve">Relationship</w:t>
            </w:r>
          </w:p>
        </w:tc>
        <w:tc>
          <w:tcPr>
            <w:tcW w:type="dxa" w:w="3480"/>
            <w:tcBorders>
              <w:top w:val="single" w:color="CCCCCC" w:sz="1"/>
              <w:left w:val="single" w:color="CCCCCC" w:sz="1"/>
              <w:bottom w:val="single" w:color="CCCCCC" w:sz="1"/>
              <w:right w:val="single" w:color="CCCCCC" w:sz="1"/>
            </w:tcBorders>
            <w:shd w:fill="FAFEFF" w:val="clear"/>
            <w:tcMar>
              <w:top w:type="dxa" w:w="85"/>
              <w:left w:type="dxa" w:w="120"/>
              <w:bottom w:type="dxa" w:w="85"/>
              <w:right w:type="dxa" w:w="120"/>
            </w:tcMar>
          </w:tcPr>
          <w:p>
            <w:pPr>
              <w:spacing w:after="80" w:before="80"/>
              <w:jc w:val="left"/>
            </w:pPr>
            <w:r>
              <w:rPr>
                <w:rFonts w:ascii="Arial" w:cs="Arial" w:eastAsia="Arial" w:hAnsi="Arial"/>
                <w:b w:val="false"/>
                <w:bCs w:val="false"/>
                <w:i w:val="false"/>
                <w:iCs w:val="false"/>
                <w:color w:val="2D2D2D"/>
                <w:sz w:val="20"/>
                <w:szCs w:val="20"/>
              </w:rPr>
              <w:t xml:space="preserve">NRR is always &gt;= GRR</w:t>
            </w:r>
          </w:p>
        </w:tc>
        <w:tc>
          <w:tcPr>
            <w:tcW w:type="dxa" w:w="3480"/>
            <w:tcBorders>
              <w:top w:val="single" w:color="CCCCCC" w:sz="1"/>
              <w:left w:val="single" w:color="CCCCCC" w:sz="1"/>
              <w:bottom w:val="single" w:color="CCCCCC" w:sz="1"/>
              <w:right w:val="single" w:color="CCCCCC" w:sz="1"/>
            </w:tcBorders>
            <w:shd w:fill="FAF0FF" w:val="clear"/>
            <w:tcMar>
              <w:top w:type="dxa" w:w="85"/>
              <w:left w:type="dxa" w:w="120"/>
              <w:bottom w:type="dxa" w:w="85"/>
              <w:right w:type="dxa" w:w="120"/>
            </w:tcMar>
          </w:tcPr>
          <w:p>
            <w:pPr>
              <w:spacing w:after="80" w:before="80"/>
              <w:jc w:val="left"/>
            </w:pPr>
            <w:r>
              <w:rPr>
                <w:rFonts w:ascii="Arial" w:cs="Arial" w:eastAsia="Arial" w:hAnsi="Arial"/>
                <w:b w:val="false"/>
                <w:bCs w:val="false"/>
                <w:i w:val="false"/>
                <w:iCs w:val="false"/>
                <w:color w:val="2D2D2D"/>
                <w:sz w:val="20"/>
                <w:szCs w:val="20"/>
              </w:rPr>
              <w:t xml:space="preserve">GRR is always &lt;= NRR</w:t>
            </w:r>
          </w:p>
        </w:tc>
      </w:tr>
      <w:tr>
        <w:tc>
          <w:tcPr>
            <w:tcW w:type="dxa" w:w="2400"/>
            <w:tcBorders>
              <w:top w:val="single" w:color="CCCCCC" w:sz="1"/>
              <w:left w:val="single" w:color="CCCCCC" w:sz="1"/>
              <w:bottom w:val="single" w:color="CCCCCC" w:sz="1"/>
              <w:right w:val="single" w:color="CCCCCC" w:sz="1"/>
            </w:tcBorders>
            <w:shd w:fill="F5FAFF" w:val="clear"/>
            <w:tcMar>
              <w:top w:type="dxa" w:w="85"/>
              <w:left w:type="dxa" w:w="120"/>
              <w:bottom w:type="dxa" w:w="85"/>
              <w:right w:type="dxa" w:w="120"/>
            </w:tcMar>
          </w:tcPr>
          <w:p>
            <w:pPr>
              <w:spacing w:after="80" w:before="80"/>
              <w:jc w:val="left"/>
            </w:pPr>
            <w:r>
              <w:rPr>
                <w:rFonts w:ascii="Arial" w:cs="Arial" w:eastAsia="Arial" w:hAnsi="Arial"/>
                <w:b/>
                <w:bCs/>
                <w:i w:val="false"/>
                <w:iCs w:val="false"/>
                <w:color w:val="1F4E79"/>
                <w:sz w:val="20"/>
                <w:szCs w:val="20"/>
              </w:rPr>
              <w:t xml:space="preserve">Exam Focus</w:t>
            </w:r>
          </w:p>
        </w:tc>
        <w:tc>
          <w:tcPr>
            <w:tcW w:type="dxa" w:w="3480"/>
            <w:tcBorders>
              <w:top w:val="single" w:color="CCCCCC" w:sz="1"/>
              <w:left w:val="single" w:color="CCCCCC" w:sz="1"/>
              <w:bottom w:val="single" w:color="CCCCCC" w:sz="1"/>
              <w:right w:val="single" w:color="CCCCCC" w:sz="1"/>
            </w:tcBorders>
            <w:shd w:fill="FDFFFF" w:val="clear"/>
            <w:tcMar>
              <w:top w:type="dxa" w:w="85"/>
              <w:left w:type="dxa" w:w="120"/>
              <w:bottom w:type="dxa" w:w="85"/>
              <w:right w:type="dxa" w:w="120"/>
            </w:tcMar>
          </w:tcPr>
          <w:p>
            <w:pPr>
              <w:spacing w:after="80" w:before="80"/>
              <w:jc w:val="left"/>
            </w:pPr>
            <w:r>
              <w:rPr>
                <w:rFonts w:ascii="Arial" w:cs="Arial" w:eastAsia="Arial" w:hAnsi="Arial"/>
                <w:b w:val="false"/>
                <w:bCs w:val="false"/>
                <w:i w:val="false"/>
                <w:iCs w:val="false"/>
                <w:color w:val="2D2D2D"/>
                <w:sz w:val="20"/>
                <w:szCs w:val="20"/>
              </w:rPr>
              <w:t xml:space="preserve">Primary measure of expansion success</w:t>
            </w:r>
          </w:p>
        </w:tc>
        <w:tc>
          <w:tcPr>
            <w:tcW w:type="dxa" w:w="3480"/>
            <w:tcBorders>
              <w:top w:val="single" w:color="CCCCCC" w:sz="1"/>
              <w:left w:val="single" w:color="CCCCCC" w:sz="1"/>
              <w:bottom w:val="single" w:color="CCCCCC" w:sz="1"/>
              <w:right w:val="single" w:color="CCCCCC" w:sz="1"/>
            </w:tcBorders>
            <w:shd w:fill="FDF7FF" w:val="clear"/>
            <w:tcMar>
              <w:top w:type="dxa" w:w="85"/>
              <w:left w:type="dxa" w:w="120"/>
              <w:bottom w:type="dxa" w:w="85"/>
              <w:right w:type="dxa" w:w="120"/>
            </w:tcMar>
          </w:tcPr>
          <w:p>
            <w:pPr>
              <w:spacing w:after="80" w:before="80"/>
              <w:jc w:val="left"/>
            </w:pPr>
            <w:r>
              <w:rPr>
                <w:rFonts w:ascii="Arial" w:cs="Arial" w:eastAsia="Arial" w:hAnsi="Arial"/>
                <w:b w:val="false"/>
                <w:bCs w:val="false"/>
                <w:i w:val="false"/>
                <w:iCs w:val="false"/>
                <w:color w:val="2D2D2D"/>
                <w:sz w:val="20"/>
                <w:szCs w:val="20"/>
              </w:rPr>
              <w:t xml:space="preserve">Primary measure of churn containment</w:t>
            </w:r>
          </w:p>
        </w:tc>
      </w:tr>
    </w:tbl>
    <w:p>
      <w:pPr>
        <w:spacing w:after="0" w:before="12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single" w:color="1F4E79" w:sz="3"/>
              <w:bottom w:val="single" w:color="1F4E79" w:sz="3"/>
              <w:right w:val="single" w:color="1F4E79" w:sz="3"/>
            </w:tcBorders>
            <w:shd w:fill="1F4E79" w:val="clear"/>
            <w:tcMar>
              <w:top w:type="dxa" w:w="80"/>
              <w:left w:type="dxa" w:w="180"/>
              <w:bottom w:type="dxa" w:w="80"/>
              <w:right w:type="dxa" w:w="180"/>
            </w:tcMar>
          </w:tcPr>
          <w:p>
            <w:pPr>
              <w:spacing w:after="80" w:before="80"/>
              <w:jc w:val="left"/>
            </w:pPr>
            <w:r>
              <w:rPr>
                <w:rFonts w:ascii="Arial" w:cs="Arial" w:eastAsia="Arial" w:hAnsi="Arial"/>
                <w:b/>
                <w:bCs/>
                <w:i w:val="false"/>
                <w:iCs w:val="false"/>
                <w:color w:val="FFFFFF"/>
                <w:sz w:val="20"/>
                <w:szCs w:val="20"/>
              </w:rPr>
              <w:t xml:space="preserve">MASTER FORMULA REFERENCE — Memorize These!</w:t>
            </w:r>
          </w:p>
        </w:tc>
      </w:tr>
      <w:tr>
        <w:tc>
          <w:tcPr>
            <w:tcW w:type="dxa" w:w="9360"/>
            <w:tcBorders>
              <w:top w:val="single" w:color="1F4E79" w:sz="3"/>
              <w:left w:val="single" w:color="1F4E79" w:sz="3"/>
              <w:bottom w:val="single" w:color="1F4E79" w:sz="3"/>
              <w:right w:val="single" w:color="1F4E79" w:sz="3"/>
            </w:tcBorders>
            <w:shd w:fill="1F4E79" w:val="clear"/>
            <w:tcMar>
              <w:top w:type="dxa" w:w="120"/>
              <w:left w:type="dxa" w:w="200"/>
              <w:bottom w:type="dxa" w:w="120"/>
              <w:right w:type="dxa" w:w="200"/>
            </w:tcMar>
          </w:tcPr>
          <w:p>
            <w:pPr>
              <w:spacing w:after="80" w:before="80"/>
              <w:jc w:val="left"/>
            </w:pPr>
            <w:r>
              <w:rPr>
                <w:rFonts w:ascii="Arial" w:cs="Arial" w:eastAsia="Arial" w:hAnsi="Arial"/>
                <w:b w:val="false"/>
                <w:bCs w:val="false"/>
                <w:i w:val="false"/>
                <w:iCs w:val="false"/>
                <w:color w:val="FFFFFF"/>
                <w:sz w:val="21"/>
                <w:szCs w:val="21"/>
              </w:rPr>
              <w:t xml:space="preserve">MASTER FORMULA SUMMARY:
ARR = MRR × 12
MRR = ARR ÷ 12
TCV = (MRR × Contract Months) + One-Time Fees
Customer Churn Rate = (Customers Lost ÷ Customers at Start) × 100
Revenue Churn Rate = (MRR Lost ÷ Starting MRR) × 100
NRR = [(Starting MRR + Expansion - Churned - Contraction) ÷ Starting MRR] × 100
GRR = [(Starting MRR - Churned - Contraction) ÷ Starting MRR] × 100</w:t>
            </w: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F4E79" w:sz="3"/>
              <w:left w:val="single" w:color="1F4E79" w:sz="3"/>
              <w:bottom w:val="single" w:color="1F4E79" w:sz="3"/>
              <w:right w:val="single" w:color="1F4E79" w:sz="3"/>
            </w:tcBorders>
            <w:shd w:fill="1A7040" w:val="clear"/>
            <w:tcMar>
              <w:top w:type="dxa" w:w="120"/>
              <w:left w:type="dxa" w:w="120"/>
              <w:bottom w:type="dxa" w:w="120"/>
              <w:right w:type="dxa" w:w="120"/>
            </w:tcMar>
            <w:vAlign w:val="center"/>
          </w:tcPr>
          <w:p>
            <w:pPr>
              <w:spacing w:after="80" w:before="80"/>
              <w:jc w:val="center"/>
            </w:pPr>
            <w:r>
              <w:rPr>
                <w:rFonts w:ascii="Arial" w:cs="Arial" w:eastAsia="Arial" w:hAnsi="Arial"/>
                <w:b/>
                <w:bCs/>
                <w:i w:val="false"/>
                <w:iCs w:val="false"/>
                <w:color w:val="FFFFFF"/>
                <w:sz w:val="28"/>
                <w:szCs w:val="28"/>
              </w:rPr>
              <w:t xml:space="preserve">04</w:t>
            </w:r>
          </w:p>
        </w:tc>
        <w:tc>
          <w:tcPr>
            <w:tcW w:type="dxa" w:w="8660"/>
            <w:tcBorders>
              <w:top w:val="single" w:color="1F4E79" w:sz="3"/>
              <w:left w:val="single" w:color="1F4E79" w:sz="3"/>
              <w:bottom w:val="single" w:color="1F4E79" w:sz="3"/>
              <w:right w:val="single" w:color="1F4E79" w:sz="3"/>
            </w:tcBorders>
            <w:shd w:fill="EBF5FB" w:val="clear"/>
            <w:tcMar>
              <w:top w:type="dxa" w:w="120"/>
              <w:left w:type="dxa" w:w="180"/>
              <w:bottom w:type="dxa" w:w="120"/>
              <w:right w:type="dxa" w:w="120"/>
            </w:tcMar>
            <w:vAlign w:val="center"/>
          </w:tcPr>
          <w:p>
            <w:pPr>
              <w:spacing w:after="80" w:before="80"/>
              <w:jc w:val="left"/>
            </w:pPr>
            <w:r>
              <w:rPr>
                <w:rFonts w:ascii="Arial" w:cs="Arial" w:eastAsia="Arial" w:hAnsi="Arial"/>
                <w:b/>
                <w:bCs/>
                <w:i w:val="false"/>
                <w:iCs w:val="false"/>
                <w:color w:val="1A7040"/>
                <w:sz w:val="26"/>
                <w:szCs w:val="26"/>
              </w:rPr>
              <w:t xml:space="preserve">Practice Questions — 10 Exam-Style Questions</w:t>
            </w:r>
          </w:p>
        </w:tc>
      </w:tr>
    </w:tbl>
    <w:p>
      <w:pPr>
        <w:spacing w:after="0" w:before="100"/>
        <w:jc w:val="left"/>
      </w:pPr>
      <w:r>
        <w:rPr>
          <w:rFonts w:ascii="Arial" w:cs="Arial" w:eastAsia="Arial" w:hAnsi="Arial"/>
          <w:b w:val="false"/>
          <w:bCs w:val="false"/>
          <w:i w:val="false"/>
          <w:iCs w:val="false"/>
          <w:color w:val="2D2D2D"/>
          <w:sz w:val="22"/>
          <w:szCs w:val="22"/>
        </w:rPr>
        <w:t xml:space="preserve"/>
      </w:r>
    </w:p>
    <w:p>
      <w:pPr>
        <w:spacing w:after="60" w:before="60"/>
        <w:jc w:val="left"/>
      </w:pPr>
      <w:r>
        <w:rPr>
          <w:rFonts w:ascii="Arial" w:cs="Arial" w:eastAsia="Arial" w:hAnsi="Arial"/>
          <w:b w:val="false"/>
          <w:bCs w:val="false"/>
          <w:i w:val="false"/>
          <w:iCs w:val="false"/>
          <w:color w:val="2D2D2D"/>
          <w:sz w:val="22"/>
          <w:szCs w:val="22"/>
        </w:rPr>
        <w:t xml:space="preserve">Answer all 10 questions before checking the answers. Each question is exam-style with 4 options. Answers and detailed explanations follow at the end.</w:t>
      </w:r>
    </w:p>
    <w:p>
      <w:pPr>
        <w:spacing w:after="0" w:before="8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single" w:color="1F4E79" w:sz="3"/>
              <w:bottom w:val="single" w:color="1F4E79" w:sz="3"/>
              <w:right w:val="single" w:color="1F4E79" w:sz="3"/>
            </w:tcBorders>
            <w:shd w:fill="1A7040" w:val="clear"/>
            <w:tcMar>
              <w:top w:type="dxa" w:w="100"/>
              <w:left w:type="dxa" w:w="180"/>
              <w:bottom w:type="dxa" w:w="100"/>
              <w:right w:type="dxa" w:w="180"/>
            </w:tcMar>
          </w:tcPr>
          <w:p>
            <w:pPr>
              <w:spacing w:after="80" w:before="80"/>
              <w:jc w:val="left"/>
            </w:pPr>
            <w:r>
              <w:rPr>
                <w:rFonts w:ascii="Arial" w:cs="Arial" w:eastAsia="Arial" w:hAnsi="Arial"/>
                <w:b/>
                <w:bCs/>
                <w:i w:val="false"/>
                <w:iCs w:val="false"/>
                <w:color w:val="FFFFFF"/>
                <w:sz w:val="20"/>
                <w:szCs w:val="20"/>
              </w:rPr>
              <w:t xml:space="preserve">Q1</w:t>
            </w:r>
          </w:p>
        </w:tc>
      </w:tr>
      <w:tr>
        <w:tc>
          <w:tcPr>
            <w:tcW w:type="dxa" w:w="9360"/>
            <w:tcBorders>
              <w:top w:val="single" w:color="1F4E79" w:sz="3"/>
              <w:left w:val="single" w:color="1F4E79" w:sz="3"/>
              <w:bottom w:val="single" w:color="1F4E79" w:sz="3"/>
              <w:right w:val="single" w:color="1F4E79" w:sz="3"/>
            </w:tcBorders>
            <w:shd w:fill="F0FFF4" w:val="clear"/>
            <w:tcMar>
              <w:top w:type="dxa" w:w="120"/>
              <w:left w:type="dxa" w:w="180"/>
              <w:bottom w:type="dxa" w:w="120"/>
              <w:right w:type="dxa" w:w="180"/>
            </w:tcMar>
          </w:tcPr>
          <w:p>
            <w:pPr>
              <w:spacing w:after="80" w:before="80"/>
              <w:jc w:val="left"/>
            </w:pPr>
            <w:r>
              <w:rPr>
                <w:rFonts w:ascii="Arial" w:cs="Arial" w:eastAsia="Arial" w:hAnsi="Arial"/>
                <w:b w:val="false"/>
                <w:bCs w:val="false"/>
                <w:i w:val="false"/>
                <w:iCs w:val="false"/>
                <w:color w:val="1A1A1A"/>
                <w:sz w:val="21"/>
                <w:szCs w:val="21"/>
              </w:rPr>
              <w:t xml:space="preserve">A Cisco partner starts the month with 250 active subscription customers. During the month, 15 customers do not renew their contracts. What is the monthly customer churn rate?</w:t>
            </w:r>
          </w:p>
          <w:p>
            <w:pPr>
              <w:spacing w:after="0" w:before="60"/>
              <w:jc w:val="left"/>
            </w:pPr>
            <w:r>
              <w:rPr>
                <w:rFonts w:ascii="Arial" w:cs="Arial" w:eastAsia="Arial" w:hAnsi="Arial"/>
                <w:b w:val="false"/>
                <w:bCs w:val="false"/>
                <w:i w:val="false"/>
                <w:iCs w:val="false"/>
                <w:color w:val="2D2D2D"/>
                <w:sz w:val="22"/>
                <w:szCs w:val="22"/>
              </w:rPr>
              <w:t xml:space="preserve"/>
            </w:r>
          </w:p>
          <w:p>
            <w:pPr>
              <w:spacing w:after="40" w:before="40"/>
              <w:jc w:val="left"/>
            </w:pPr>
            <w:r>
              <w:rPr>
                <w:rFonts w:ascii="Arial" w:cs="Arial" w:eastAsia="Arial" w:hAnsi="Arial"/>
                <w:b w:val="false"/>
                <w:bCs w:val="false"/>
                <w:i w:val="false"/>
                <w:iCs w:val="false"/>
                <w:color w:val="333333"/>
                <w:sz w:val="20"/>
                <w:szCs w:val="20"/>
              </w:rPr>
              <w:t xml:space="preserve">A.  5%</w:t>
            </w:r>
          </w:p>
          <w:p>
            <w:pPr>
              <w:spacing w:after="40" w:before="40"/>
              <w:jc w:val="left"/>
            </w:pPr>
            <w:r>
              <w:rPr>
                <w:rFonts w:ascii="Arial" w:cs="Arial" w:eastAsia="Arial" w:hAnsi="Arial"/>
                <w:b w:val="false"/>
                <w:bCs w:val="false"/>
                <w:i w:val="false"/>
                <w:iCs w:val="false"/>
                <w:color w:val="333333"/>
                <w:sz w:val="20"/>
                <w:szCs w:val="20"/>
              </w:rPr>
              <w:t xml:space="preserve">B.  6%</w:t>
            </w:r>
          </w:p>
          <w:p>
            <w:pPr>
              <w:spacing w:after="40" w:before="40"/>
              <w:jc w:val="left"/>
            </w:pPr>
            <w:r>
              <w:rPr>
                <w:rFonts w:ascii="Arial" w:cs="Arial" w:eastAsia="Arial" w:hAnsi="Arial"/>
                <w:b w:val="false"/>
                <w:bCs w:val="false"/>
                <w:i w:val="false"/>
                <w:iCs w:val="false"/>
                <w:color w:val="333333"/>
                <w:sz w:val="20"/>
                <w:szCs w:val="20"/>
              </w:rPr>
              <w:t xml:space="preserve">C.  15%</w:t>
            </w:r>
          </w:p>
          <w:p>
            <w:pPr>
              <w:spacing w:after="40" w:before="40"/>
              <w:jc w:val="left"/>
            </w:pPr>
            <w:r>
              <w:rPr>
                <w:rFonts w:ascii="Arial" w:cs="Arial" w:eastAsia="Arial" w:hAnsi="Arial"/>
                <w:b w:val="false"/>
                <w:bCs w:val="false"/>
                <w:i w:val="false"/>
                <w:iCs w:val="false"/>
                <w:color w:val="333333"/>
                <w:sz w:val="20"/>
                <w:szCs w:val="20"/>
              </w:rPr>
              <w:t xml:space="preserve">D.  10%</w:t>
            </w:r>
          </w:p>
        </w:tc>
      </w:tr>
    </w:tbl>
    <w:p>
      <w:pPr>
        <w:spacing w:after="0" w:before="10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single" w:color="1F4E79" w:sz="3"/>
              <w:bottom w:val="single" w:color="1F4E79" w:sz="3"/>
              <w:right w:val="single" w:color="1F4E79" w:sz="3"/>
            </w:tcBorders>
            <w:shd w:fill="1A7040" w:val="clear"/>
            <w:tcMar>
              <w:top w:type="dxa" w:w="100"/>
              <w:left w:type="dxa" w:w="180"/>
              <w:bottom w:type="dxa" w:w="100"/>
              <w:right w:type="dxa" w:w="180"/>
            </w:tcMar>
          </w:tcPr>
          <w:p>
            <w:pPr>
              <w:spacing w:after="80" w:before="80"/>
              <w:jc w:val="left"/>
            </w:pPr>
            <w:r>
              <w:rPr>
                <w:rFonts w:ascii="Arial" w:cs="Arial" w:eastAsia="Arial" w:hAnsi="Arial"/>
                <w:b/>
                <w:bCs/>
                <w:i w:val="false"/>
                <w:iCs w:val="false"/>
                <w:color w:val="FFFFFF"/>
                <w:sz w:val="20"/>
                <w:szCs w:val="20"/>
              </w:rPr>
              <w:t xml:space="preserve">Q2</w:t>
            </w:r>
          </w:p>
        </w:tc>
      </w:tr>
      <w:tr>
        <w:tc>
          <w:tcPr>
            <w:tcW w:type="dxa" w:w="9360"/>
            <w:tcBorders>
              <w:top w:val="single" w:color="1F4E79" w:sz="3"/>
              <w:left w:val="single" w:color="1F4E79" w:sz="3"/>
              <w:bottom w:val="single" w:color="1F4E79" w:sz="3"/>
              <w:right w:val="single" w:color="1F4E79" w:sz="3"/>
            </w:tcBorders>
            <w:shd w:fill="F0FFF4" w:val="clear"/>
            <w:tcMar>
              <w:top w:type="dxa" w:w="120"/>
              <w:left w:type="dxa" w:w="180"/>
              <w:bottom w:type="dxa" w:w="120"/>
              <w:right w:type="dxa" w:w="180"/>
            </w:tcMar>
          </w:tcPr>
          <w:p>
            <w:pPr>
              <w:spacing w:after="80" w:before="80"/>
              <w:jc w:val="left"/>
            </w:pPr>
            <w:r>
              <w:rPr>
                <w:rFonts w:ascii="Arial" w:cs="Arial" w:eastAsia="Arial" w:hAnsi="Arial"/>
                <w:b w:val="false"/>
                <w:bCs w:val="false"/>
                <w:i w:val="false"/>
                <w:iCs w:val="false"/>
                <w:color w:val="1A1A1A"/>
                <w:sz w:val="21"/>
                <w:szCs w:val="21"/>
              </w:rPr>
              <w:t xml:space="preserve">A customer has a 3-year Cisco Webex subscription at $8,000 per month, plus a one-time onboarding fee of $12,000. What is the Total Contract Value (TCV)?</w:t>
            </w:r>
          </w:p>
          <w:p>
            <w:pPr>
              <w:spacing w:after="0" w:before="60"/>
              <w:jc w:val="left"/>
            </w:pPr>
            <w:r>
              <w:rPr>
                <w:rFonts w:ascii="Arial" w:cs="Arial" w:eastAsia="Arial" w:hAnsi="Arial"/>
                <w:b w:val="false"/>
                <w:bCs w:val="false"/>
                <w:i w:val="false"/>
                <w:iCs w:val="false"/>
                <w:color w:val="2D2D2D"/>
                <w:sz w:val="22"/>
                <w:szCs w:val="22"/>
              </w:rPr>
              <w:t xml:space="preserve"/>
            </w:r>
          </w:p>
          <w:p>
            <w:pPr>
              <w:spacing w:after="40" w:before="40"/>
              <w:jc w:val="left"/>
            </w:pPr>
            <w:r>
              <w:rPr>
                <w:rFonts w:ascii="Arial" w:cs="Arial" w:eastAsia="Arial" w:hAnsi="Arial"/>
                <w:b w:val="false"/>
                <w:bCs w:val="false"/>
                <w:i w:val="false"/>
                <w:iCs w:val="false"/>
                <w:color w:val="333333"/>
                <w:sz w:val="20"/>
                <w:szCs w:val="20"/>
              </w:rPr>
              <w:t xml:space="preserve">A.  $96,000</w:t>
            </w:r>
          </w:p>
          <w:p>
            <w:pPr>
              <w:spacing w:after="40" w:before="40"/>
              <w:jc w:val="left"/>
            </w:pPr>
            <w:r>
              <w:rPr>
                <w:rFonts w:ascii="Arial" w:cs="Arial" w:eastAsia="Arial" w:hAnsi="Arial"/>
                <w:b w:val="false"/>
                <w:bCs w:val="false"/>
                <w:i w:val="false"/>
                <w:iCs w:val="false"/>
                <w:color w:val="333333"/>
                <w:sz w:val="20"/>
                <w:szCs w:val="20"/>
              </w:rPr>
              <w:t xml:space="preserve">B.  $288,000</w:t>
            </w:r>
          </w:p>
          <w:p>
            <w:pPr>
              <w:spacing w:after="40" w:before="40"/>
              <w:jc w:val="left"/>
            </w:pPr>
            <w:r>
              <w:rPr>
                <w:rFonts w:ascii="Arial" w:cs="Arial" w:eastAsia="Arial" w:hAnsi="Arial"/>
                <w:b w:val="false"/>
                <w:bCs w:val="false"/>
                <w:i w:val="false"/>
                <w:iCs w:val="false"/>
                <w:color w:val="333333"/>
                <w:sz w:val="20"/>
                <w:szCs w:val="20"/>
              </w:rPr>
              <w:t xml:space="preserve">C.  $300,000</w:t>
            </w:r>
          </w:p>
          <w:p>
            <w:pPr>
              <w:spacing w:after="40" w:before="40"/>
              <w:jc w:val="left"/>
            </w:pPr>
            <w:r>
              <w:rPr>
                <w:rFonts w:ascii="Arial" w:cs="Arial" w:eastAsia="Arial" w:hAnsi="Arial"/>
                <w:b w:val="false"/>
                <w:bCs w:val="false"/>
                <w:i w:val="false"/>
                <w:iCs w:val="false"/>
                <w:color w:val="333333"/>
                <w:sz w:val="20"/>
                <w:szCs w:val="20"/>
              </w:rPr>
              <w:t xml:space="preserve">D.  $276,000</w:t>
            </w:r>
          </w:p>
        </w:tc>
      </w:tr>
    </w:tbl>
    <w:p>
      <w:pPr>
        <w:spacing w:after="0" w:before="10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single" w:color="1F4E79" w:sz="3"/>
              <w:bottom w:val="single" w:color="1F4E79" w:sz="3"/>
              <w:right w:val="single" w:color="1F4E79" w:sz="3"/>
            </w:tcBorders>
            <w:shd w:fill="1A7040" w:val="clear"/>
            <w:tcMar>
              <w:top w:type="dxa" w:w="100"/>
              <w:left w:type="dxa" w:w="180"/>
              <w:bottom w:type="dxa" w:w="100"/>
              <w:right w:type="dxa" w:w="180"/>
            </w:tcMar>
          </w:tcPr>
          <w:p>
            <w:pPr>
              <w:spacing w:after="80" w:before="80"/>
              <w:jc w:val="left"/>
            </w:pPr>
            <w:r>
              <w:rPr>
                <w:rFonts w:ascii="Arial" w:cs="Arial" w:eastAsia="Arial" w:hAnsi="Arial"/>
                <w:b/>
                <w:bCs/>
                <w:i w:val="false"/>
                <w:iCs w:val="false"/>
                <w:color w:val="FFFFFF"/>
                <w:sz w:val="20"/>
                <w:szCs w:val="20"/>
              </w:rPr>
              <w:t xml:space="preserve">Q3</w:t>
            </w:r>
          </w:p>
        </w:tc>
      </w:tr>
      <w:tr>
        <w:tc>
          <w:tcPr>
            <w:tcW w:type="dxa" w:w="9360"/>
            <w:tcBorders>
              <w:top w:val="single" w:color="1F4E79" w:sz="3"/>
              <w:left w:val="single" w:color="1F4E79" w:sz="3"/>
              <w:bottom w:val="single" w:color="1F4E79" w:sz="3"/>
              <w:right w:val="single" w:color="1F4E79" w:sz="3"/>
            </w:tcBorders>
            <w:shd w:fill="F0FFF4" w:val="clear"/>
            <w:tcMar>
              <w:top w:type="dxa" w:w="120"/>
              <w:left w:type="dxa" w:w="180"/>
              <w:bottom w:type="dxa" w:w="120"/>
              <w:right w:type="dxa" w:w="180"/>
            </w:tcMar>
          </w:tcPr>
          <w:p>
            <w:pPr>
              <w:spacing w:after="80" w:before="80"/>
              <w:jc w:val="left"/>
            </w:pPr>
            <w:r>
              <w:rPr>
                <w:rFonts w:ascii="Arial" w:cs="Arial" w:eastAsia="Arial" w:hAnsi="Arial"/>
                <w:b w:val="false"/>
                <w:bCs w:val="false"/>
                <w:i w:val="false"/>
                <w:iCs w:val="false"/>
                <w:color w:val="1A1A1A"/>
                <w:sz w:val="21"/>
                <w:szCs w:val="21"/>
              </w:rPr>
              <w:t xml:space="preserve">At the start of Q1, a company had $500,000 MRR from existing customers. By end of Q1: Expansion MRR = $60,000 | Churned MRR = $30,000 | Contraction MRR = $10,000. What is the NRR?</w:t>
            </w:r>
          </w:p>
          <w:p>
            <w:pPr>
              <w:spacing w:after="0" w:before="60"/>
              <w:jc w:val="left"/>
            </w:pPr>
            <w:r>
              <w:rPr>
                <w:rFonts w:ascii="Arial" w:cs="Arial" w:eastAsia="Arial" w:hAnsi="Arial"/>
                <w:b w:val="false"/>
                <w:bCs w:val="false"/>
                <w:i w:val="false"/>
                <w:iCs w:val="false"/>
                <w:color w:val="2D2D2D"/>
                <w:sz w:val="22"/>
                <w:szCs w:val="22"/>
              </w:rPr>
              <w:t xml:space="preserve"/>
            </w:r>
          </w:p>
          <w:p>
            <w:pPr>
              <w:spacing w:after="40" w:before="40"/>
              <w:jc w:val="left"/>
            </w:pPr>
            <w:r>
              <w:rPr>
                <w:rFonts w:ascii="Arial" w:cs="Arial" w:eastAsia="Arial" w:hAnsi="Arial"/>
                <w:b w:val="false"/>
                <w:bCs w:val="false"/>
                <w:i w:val="false"/>
                <w:iCs w:val="false"/>
                <w:color w:val="333333"/>
                <w:sz w:val="20"/>
                <w:szCs w:val="20"/>
              </w:rPr>
              <w:t xml:space="preserve">A.  96%</w:t>
            </w:r>
          </w:p>
          <w:p>
            <w:pPr>
              <w:spacing w:after="40" w:before="40"/>
              <w:jc w:val="left"/>
            </w:pPr>
            <w:r>
              <w:rPr>
                <w:rFonts w:ascii="Arial" w:cs="Arial" w:eastAsia="Arial" w:hAnsi="Arial"/>
                <w:b w:val="false"/>
                <w:bCs w:val="false"/>
                <w:i w:val="false"/>
                <w:iCs w:val="false"/>
                <w:color w:val="333333"/>
                <w:sz w:val="20"/>
                <w:szCs w:val="20"/>
              </w:rPr>
              <w:t xml:space="preserve">B.  100%</w:t>
            </w:r>
          </w:p>
          <w:p>
            <w:pPr>
              <w:spacing w:after="40" w:before="40"/>
              <w:jc w:val="left"/>
            </w:pPr>
            <w:r>
              <w:rPr>
                <w:rFonts w:ascii="Arial" w:cs="Arial" w:eastAsia="Arial" w:hAnsi="Arial"/>
                <w:b w:val="false"/>
                <w:bCs w:val="false"/>
                <w:i w:val="false"/>
                <w:iCs w:val="false"/>
                <w:color w:val="333333"/>
                <w:sz w:val="20"/>
                <w:szCs w:val="20"/>
              </w:rPr>
              <w:t xml:space="preserve">C.  104%</w:t>
            </w:r>
          </w:p>
          <w:p>
            <w:pPr>
              <w:spacing w:after="40" w:before="40"/>
              <w:jc w:val="left"/>
            </w:pPr>
            <w:r>
              <w:rPr>
                <w:rFonts w:ascii="Arial" w:cs="Arial" w:eastAsia="Arial" w:hAnsi="Arial"/>
                <w:b w:val="false"/>
                <w:bCs w:val="false"/>
                <w:i w:val="false"/>
                <w:iCs w:val="false"/>
                <w:color w:val="333333"/>
                <w:sz w:val="20"/>
                <w:szCs w:val="20"/>
              </w:rPr>
              <w:t xml:space="preserve">D.  112%</w:t>
            </w:r>
          </w:p>
        </w:tc>
      </w:tr>
    </w:tbl>
    <w:p>
      <w:pPr>
        <w:spacing w:after="0" w:before="10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single" w:color="1F4E79" w:sz="3"/>
              <w:bottom w:val="single" w:color="1F4E79" w:sz="3"/>
              <w:right w:val="single" w:color="1F4E79" w:sz="3"/>
            </w:tcBorders>
            <w:shd w:fill="1A7040" w:val="clear"/>
            <w:tcMar>
              <w:top w:type="dxa" w:w="100"/>
              <w:left w:type="dxa" w:w="180"/>
              <w:bottom w:type="dxa" w:w="100"/>
              <w:right w:type="dxa" w:w="180"/>
            </w:tcMar>
          </w:tcPr>
          <w:p>
            <w:pPr>
              <w:spacing w:after="80" w:before="80"/>
              <w:jc w:val="left"/>
            </w:pPr>
            <w:r>
              <w:rPr>
                <w:rFonts w:ascii="Arial" w:cs="Arial" w:eastAsia="Arial" w:hAnsi="Arial"/>
                <w:b/>
                <w:bCs/>
                <w:i w:val="false"/>
                <w:iCs w:val="false"/>
                <w:color w:val="FFFFFF"/>
                <w:sz w:val="20"/>
                <w:szCs w:val="20"/>
              </w:rPr>
              <w:t xml:space="preserve">Q4</w:t>
            </w:r>
          </w:p>
        </w:tc>
      </w:tr>
      <w:tr>
        <w:tc>
          <w:tcPr>
            <w:tcW w:type="dxa" w:w="9360"/>
            <w:tcBorders>
              <w:top w:val="single" w:color="1F4E79" w:sz="3"/>
              <w:left w:val="single" w:color="1F4E79" w:sz="3"/>
              <w:bottom w:val="single" w:color="1F4E79" w:sz="3"/>
              <w:right w:val="single" w:color="1F4E79" w:sz="3"/>
            </w:tcBorders>
            <w:shd w:fill="F0FFF4" w:val="clear"/>
            <w:tcMar>
              <w:top w:type="dxa" w:w="120"/>
              <w:left w:type="dxa" w:w="180"/>
              <w:bottom w:type="dxa" w:w="120"/>
              <w:right w:type="dxa" w:w="180"/>
            </w:tcMar>
          </w:tcPr>
          <w:p>
            <w:pPr>
              <w:spacing w:after="80" w:before="80"/>
              <w:jc w:val="left"/>
            </w:pPr>
            <w:r>
              <w:rPr>
                <w:rFonts w:ascii="Arial" w:cs="Arial" w:eastAsia="Arial" w:hAnsi="Arial"/>
                <w:b w:val="false"/>
                <w:bCs w:val="false"/>
                <w:i w:val="false"/>
                <w:iCs w:val="false"/>
                <w:color w:val="1A1A1A"/>
                <w:sz w:val="21"/>
                <w:szCs w:val="21"/>
              </w:rPr>
              <w:t xml:space="preserve">Which of the following statements about Gross Revenue Retention (GRR) is CORRECT?</w:t>
            </w:r>
          </w:p>
          <w:p>
            <w:pPr>
              <w:spacing w:after="0" w:before="60"/>
              <w:jc w:val="left"/>
            </w:pPr>
            <w:r>
              <w:rPr>
                <w:rFonts w:ascii="Arial" w:cs="Arial" w:eastAsia="Arial" w:hAnsi="Arial"/>
                <w:b w:val="false"/>
                <w:bCs w:val="false"/>
                <w:i w:val="false"/>
                <w:iCs w:val="false"/>
                <w:color w:val="2D2D2D"/>
                <w:sz w:val="22"/>
                <w:szCs w:val="22"/>
              </w:rPr>
              <w:t xml:space="preserve"/>
            </w:r>
          </w:p>
          <w:p>
            <w:pPr>
              <w:spacing w:after="40" w:before="40"/>
              <w:jc w:val="left"/>
            </w:pPr>
            <w:r>
              <w:rPr>
                <w:rFonts w:ascii="Arial" w:cs="Arial" w:eastAsia="Arial" w:hAnsi="Arial"/>
                <w:b w:val="false"/>
                <w:bCs w:val="false"/>
                <w:i w:val="false"/>
                <w:iCs w:val="false"/>
                <w:color w:val="333333"/>
                <w:sz w:val="20"/>
                <w:szCs w:val="20"/>
              </w:rPr>
              <w:t xml:space="preserve">A.  GRR can exceed 100% when expansion revenue is high</w:t>
            </w:r>
          </w:p>
          <w:p>
            <w:pPr>
              <w:spacing w:after="40" w:before="40"/>
              <w:jc w:val="left"/>
            </w:pPr>
            <w:r>
              <w:rPr>
                <w:rFonts w:ascii="Arial" w:cs="Arial" w:eastAsia="Arial" w:hAnsi="Arial"/>
                <w:b w:val="false"/>
                <w:bCs w:val="false"/>
                <w:i w:val="false"/>
                <w:iCs w:val="false"/>
                <w:color w:val="333333"/>
                <w:sz w:val="20"/>
                <w:szCs w:val="20"/>
              </w:rPr>
              <w:t xml:space="preserve">B.  GRR includes the impact of upsells and expansions</w:t>
            </w:r>
          </w:p>
          <w:p>
            <w:pPr>
              <w:spacing w:after="40" w:before="40"/>
              <w:jc w:val="left"/>
            </w:pPr>
            <w:r>
              <w:rPr>
                <w:rFonts w:ascii="Arial" w:cs="Arial" w:eastAsia="Arial" w:hAnsi="Arial"/>
                <w:b w:val="false"/>
                <w:bCs w:val="false"/>
                <w:i w:val="false"/>
                <w:iCs w:val="false"/>
                <w:color w:val="333333"/>
                <w:sz w:val="20"/>
                <w:szCs w:val="20"/>
              </w:rPr>
              <w:t xml:space="preserve">C.  GRR measures revenue retained before accounting for expansion</w:t>
            </w:r>
          </w:p>
          <w:p>
            <w:pPr>
              <w:spacing w:after="40" w:before="40"/>
              <w:jc w:val="left"/>
            </w:pPr>
            <w:r>
              <w:rPr>
                <w:rFonts w:ascii="Arial" w:cs="Arial" w:eastAsia="Arial" w:hAnsi="Arial"/>
                <w:b w:val="false"/>
                <w:bCs w:val="false"/>
                <w:i w:val="false"/>
                <w:iCs w:val="false"/>
                <w:color w:val="333333"/>
                <w:sz w:val="20"/>
                <w:szCs w:val="20"/>
              </w:rPr>
              <w:t xml:space="preserve">D.  GRR and NRR will always be equal</w:t>
            </w:r>
          </w:p>
        </w:tc>
      </w:tr>
    </w:tbl>
    <w:p>
      <w:pPr>
        <w:spacing w:after="0" w:before="10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single" w:color="1F4E79" w:sz="3"/>
              <w:bottom w:val="single" w:color="1F4E79" w:sz="3"/>
              <w:right w:val="single" w:color="1F4E79" w:sz="3"/>
            </w:tcBorders>
            <w:shd w:fill="1A7040" w:val="clear"/>
            <w:tcMar>
              <w:top w:type="dxa" w:w="100"/>
              <w:left w:type="dxa" w:w="180"/>
              <w:bottom w:type="dxa" w:w="100"/>
              <w:right w:type="dxa" w:w="180"/>
            </w:tcMar>
          </w:tcPr>
          <w:p>
            <w:pPr>
              <w:spacing w:after="80" w:before="80"/>
              <w:jc w:val="left"/>
            </w:pPr>
            <w:r>
              <w:rPr>
                <w:rFonts w:ascii="Arial" w:cs="Arial" w:eastAsia="Arial" w:hAnsi="Arial"/>
                <w:b/>
                <w:bCs/>
                <w:i w:val="false"/>
                <w:iCs w:val="false"/>
                <w:color w:val="FFFFFF"/>
                <w:sz w:val="20"/>
                <w:szCs w:val="20"/>
              </w:rPr>
              <w:t xml:space="preserve">Q5</w:t>
            </w:r>
          </w:p>
        </w:tc>
      </w:tr>
      <w:tr>
        <w:tc>
          <w:tcPr>
            <w:tcW w:type="dxa" w:w="9360"/>
            <w:tcBorders>
              <w:top w:val="single" w:color="1F4E79" w:sz="3"/>
              <w:left w:val="single" w:color="1F4E79" w:sz="3"/>
              <w:bottom w:val="single" w:color="1F4E79" w:sz="3"/>
              <w:right w:val="single" w:color="1F4E79" w:sz="3"/>
            </w:tcBorders>
            <w:shd w:fill="F0FFF4" w:val="clear"/>
            <w:tcMar>
              <w:top w:type="dxa" w:w="120"/>
              <w:left w:type="dxa" w:w="180"/>
              <w:bottom w:type="dxa" w:w="120"/>
              <w:right w:type="dxa" w:w="180"/>
            </w:tcMar>
          </w:tcPr>
          <w:p>
            <w:pPr>
              <w:spacing w:after="80" w:before="80"/>
              <w:jc w:val="left"/>
            </w:pPr>
            <w:r>
              <w:rPr>
                <w:rFonts w:ascii="Arial" w:cs="Arial" w:eastAsia="Arial" w:hAnsi="Arial"/>
                <w:b w:val="false"/>
                <w:bCs w:val="false"/>
                <w:i w:val="false"/>
                <w:iCs w:val="false"/>
                <w:color w:val="1A1A1A"/>
                <w:sz w:val="21"/>
                <w:szCs w:val="21"/>
              </w:rPr>
              <w:t xml:space="preserve">A customer pays a $20,000 perpetual license for Cisco software and a separate $4,000 annual maintenance fee. Which of the following best describes the vendor's revenue model concern?</w:t>
            </w:r>
          </w:p>
          <w:p>
            <w:pPr>
              <w:spacing w:after="0" w:before="60"/>
              <w:jc w:val="left"/>
            </w:pPr>
            <w:r>
              <w:rPr>
                <w:rFonts w:ascii="Arial" w:cs="Arial" w:eastAsia="Arial" w:hAnsi="Arial"/>
                <w:b w:val="false"/>
                <w:bCs w:val="false"/>
                <w:i w:val="false"/>
                <w:iCs w:val="false"/>
                <w:color w:val="2D2D2D"/>
                <w:sz w:val="22"/>
                <w:szCs w:val="22"/>
              </w:rPr>
              <w:t xml:space="preserve"/>
            </w:r>
          </w:p>
          <w:p>
            <w:pPr>
              <w:spacing w:after="40" w:before="40"/>
              <w:jc w:val="left"/>
            </w:pPr>
            <w:r>
              <w:rPr>
                <w:rFonts w:ascii="Arial" w:cs="Arial" w:eastAsia="Arial" w:hAnsi="Arial"/>
                <w:b w:val="false"/>
                <w:bCs w:val="false"/>
                <w:i w:val="false"/>
                <w:iCs w:val="false"/>
                <w:color w:val="333333"/>
                <w:sz w:val="20"/>
                <w:szCs w:val="20"/>
              </w:rPr>
              <w:t xml:space="preserve">A.  The vendor must monitor churn risk every month</w:t>
            </w:r>
          </w:p>
          <w:p>
            <w:pPr>
              <w:spacing w:after="40" w:before="40"/>
              <w:jc w:val="left"/>
            </w:pPr>
            <w:r>
              <w:rPr>
                <w:rFonts w:ascii="Arial" w:cs="Arial" w:eastAsia="Arial" w:hAnsi="Arial"/>
                <w:b w:val="false"/>
                <w:bCs w:val="false"/>
                <w:i w:val="false"/>
                <w:iCs w:val="false"/>
                <w:color w:val="333333"/>
                <w:sz w:val="20"/>
                <w:szCs w:val="20"/>
              </w:rPr>
              <w:t xml:space="preserve">B.  Renewal of the maintenance fee is not guaranteed; the large license revenue will not recur</w:t>
            </w:r>
          </w:p>
          <w:p>
            <w:pPr>
              <w:spacing w:after="40" w:before="40"/>
              <w:jc w:val="left"/>
            </w:pPr>
            <w:r>
              <w:rPr>
                <w:rFonts w:ascii="Arial" w:cs="Arial" w:eastAsia="Arial" w:hAnsi="Arial"/>
                <w:b w:val="false"/>
                <w:bCs w:val="false"/>
                <w:i w:val="false"/>
                <w:iCs w:val="false"/>
                <w:color w:val="333333"/>
                <w:sz w:val="20"/>
                <w:szCs w:val="20"/>
              </w:rPr>
              <w:t xml:space="preserve">C.  ARR for this account is $24,000 per year</w:t>
            </w:r>
          </w:p>
          <w:p>
            <w:pPr>
              <w:spacing w:after="40" w:before="40"/>
              <w:jc w:val="left"/>
            </w:pPr>
            <w:r>
              <w:rPr>
                <w:rFonts w:ascii="Arial" w:cs="Arial" w:eastAsia="Arial" w:hAnsi="Arial"/>
                <w:b w:val="false"/>
                <w:bCs w:val="false"/>
                <w:i w:val="false"/>
                <w:iCs w:val="false"/>
                <w:color w:val="333333"/>
                <w:sz w:val="20"/>
                <w:szCs w:val="20"/>
              </w:rPr>
              <w:t xml:space="preserve">D.  The CSM must build a success plan to drive adoption for renewal</w:t>
            </w:r>
          </w:p>
        </w:tc>
      </w:tr>
    </w:tbl>
    <w:p>
      <w:pPr>
        <w:spacing w:after="0" w:before="10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single" w:color="1F4E79" w:sz="3"/>
              <w:bottom w:val="single" w:color="1F4E79" w:sz="3"/>
              <w:right w:val="single" w:color="1F4E79" w:sz="3"/>
            </w:tcBorders>
            <w:shd w:fill="1A7040" w:val="clear"/>
            <w:tcMar>
              <w:top w:type="dxa" w:w="100"/>
              <w:left w:type="dxa" w:w="180"/>
              <w:bottom w:type="dxa" w:w="100"/>
              <w:right w:type="dxa" w:w="180"/>
            </w:tcMar>
          </w:tcPr>
          <w:p>
            <w:pPr>
              <w:spacing w:after="80" w:before="80"/>
              <w:jc w:val="left"/>
            </w:pPr>
            <w:r>
              <w:rPr>
                <w:rFonts w:ascii="Arial" w:cs="Arial" w:eastAsia="Arial" w:hAnsi="Arial"/>
                <w:b/>
                <w:bCs/>
                <w:i w:val="false"/>
                <w:iCs w:val="false"/>
                <w:color w:val="FFFFFF"/>
                <w:sz w:val="20"/>
                <w:szCs w:val="20"/>
              </w:rPr>
              <w:t xml:space="preserve">Q6</w:t>
            </w:r>
          </w:p>
        </w:tc>
      </w:tr>
      <w:tr>
        <w:tc>
          <w:tcPr>
            <w:tcW w:type="dxa" w:w="9360"/>
            <w:tcBorders>
              <w:top w:val="single" w:color="1F4E79" w:sz="3"/>
              <w:left w:val="single" w:color="1F4E79" w:sz="3"/>
              <w:bottom w:val="single" w:color="1F4E79" w:sz="3"/>
              <w:right w:val="single" w:color="1F4E79" w:sz="3"/>
            </w:tcBorders>
            <w:shd w:fill="F0FFF4" w:val="clear"/>
            <w:tcMar>
              <w:top w:type="dxa" w:w="120"/>
              <w:left w:type="dxa" w:w="180"/>
              <w:bottom w:type="dxa" w:w="120"/>
              <w:right w:type="dxa" w:w="180"/>
            </w:tcMar>
          </w:tcPr>
          <w:p>
            <w:pPr>
              <w:spacing w:after="80" w:before="80"/>
              <w:jc w:val="left"/>
            </w:pPr>
            <w:r>
              <w:rPr>
                <w:rFonts w:ascii="Arial" w:cs="Arial" w:eastAsia="Arial" w:hAnsi="Arial"/>
                <w:b w:val="false"/>
                <w:bCs w:val="false"/>
                <w:i w:val="false"/>
                <w:iCs w:val="false"/>
                <w:color w:val="1A1A1A"/>
                <w:sz w:val="21"/>
                <w:szCs w:val="21"/>
              </w:rPr>
              <w:t xml:space="preserve">Company A has 1,000 customers and loses 50 per month (high-volume small accounts). Company B has 200 customers and loses 5 per month (enterprise accounts). Which company has the higher customer churn rate?</w:t>
            </w:r>
          </w:p>
          <w:p>
            <w:pPr>
              <w:spacing w:after="0" w:before="60"/>
              <w:jc w:val="left"/>
            </w:pPr>
            <w:r>
              <w:rPr>
                <w:rFonts w:ascii="Arial" w:cs="Arial" w:eastAsia="Arial" w:hAnsi="Arial"/>
                <w:b w:val="false"/>
                <w:bCs w:val="false"/>
                <w:i w:val="false"/>
                <w:iCs w:val="false"/>
                <w:color w:val="2D2D2D"/>
                <w:sz w:val="22"/>
                <w:szCs w:val="22"/>
              </w:rPr>
              <w:t xml:space="preserve"/>
            </w:r>
          </w:p>
          <w:p>
            <w:pPr>
              <w:spacing w:after="40" w:before="40"/>
              <w:jc w:val="left"/>
            </w:pPr>
            <w:r>
              <w:rPr>
                <w:rFonts w:ascii="Arial" w:cs="Arial" w:eastAsia="Arial" w:hAnsi="Arial"/>
                <w:b w:val="false"/>
                <w:bCs w:val="false"/>
                <w:i w:val="false"/>
                <w:iCs w:val="false"/>
                <w:color w:val="333333"/>
                <w:sz w:val="20"/>
                <w:szCs w:val="20"/>
              </w:rPr>
              <w:t xml:space="preserve">A.  Company A at 5%</w:t>
            </w:r>
          </w:p>
          <w:p>
            <w:pPr>
              <w:spacing w:after="40" w:before="40"/>
              <w:jc w:val="left"/>
            </w:pPr>
            <w:r>
              <w:rPr>
                <w:rFonts w:ascii="Arial" w:cs="Arial" w:eastAsia="Arial" w:hAnsi="Arial"/>
                <w:b w:val="false"/>
                <w:bCs w:val="false"/>
                <w:i w:val="false"/>
                <w:iCs w:val="false"/>
                <w:color w:val="333333"/>
                <w:sz w:val="20"/>
                <w:szCs w:val="20"/>
              </w:rPr>
              <w:t xml:space="preserve">B.  Company B at 2.5%</w:t>
            </w:r>
          </w:p>
          <w:p>
            <w:pPr>
              <w:spacing w:after="40" w:before="40"/>
              <w:jc w:val="left"/>
            </w:pPr>
            <w:r>
              <w:rPr>
                <w:rFonts w:ascii="Arial" w:cs="Arial" w:eastAsia="Arial" w:hAnsi="Arial"/>
                <w:b w:val="false"/>
                <w:bCs w:val="false"/>
                <w:i w:val="false"/>
                <w:iCs w:val="false"/>
                <w:color w:val="333333"/>
                <w:sz w:val="20"/>
                <w:szCs w:val="20"/>
              </w:rPr>
              <w:t xml:space="preserve">C.  Both have the same churn rate</w:t>
            </w:r>
          </w:p>
          <w:p>
            <w:pPr>
              <w:spacing w:after="40" w:before="40"/>
              <w:jc w:val="left"/>
            </w:pPr>
            <w:r>
              <w:rPr>
                <w:rFonts w:ascii="Arial" w:cs="Arial" w:eastAsia="Arial" w:hAnsi="Arial"/>
                <w:b w:val="false"/>
                <w:bCs w:val="false"/>
                <w:i w:val="false"/>
                <w:iCs w:val="false"/>
                <w:color w:val="333333"/>
                <w:sz w:val="20"/>
                <w:szCs w:val="20"/>
              </w:rPr>
              <w:t xml:space="preserve">D.  Cannot be determined without revenue data</w:t>
            </w:r>
          </w:p>
        </w:tc>
      </w:tr>
    </w:tbl>
    <w:p>
      <w:pPr>
        <w:spacing w:after="0" w:before="10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single" w:color="1F4E79" w:sz="3"/>
              <w:bottom w:val="single" w:color="1F4E79" w:sz="3"/>
              <w:right w:val="single" w:color="1F4E79" w:sz="3"/>
            </w:tcBorders>
            <w:shd w:fill="1A7040" w:val="clear"/>
            <w:tcMar>
              <w:top w:type="dxa" w:w="100"/>
              <w:left w:type="dxa" w:w="180"/>
              <w:bottom w:type="dxa" w:w="100"/>
              <w:right w:type="dxa" w:w="180"/>
            </w:tcMar>
          </w:tcPr>
          <w:p>
            <w:pPr>
              <w:spacing w:after="80" w:before="80"/>
              <w:jc w:val="left"/>
            </w:pPr>
            <w:r>
              <w:rPr>
                <w:rFonts w:ascii="Arial" w:cs="Arial" w:eastAsia="Arial" w:hAnsi="Arial"/>
                <w:b/>
                <w:bCs/>
                <w:i w:val="false"/>
                <w:iCs w:val="false"/>
                <w:color w:val="FFFFFF"/>
                <w:sz w:val="20"/>
                <w:szCs w:val="20"/>
              </w:rPr>
              <w:t xml:space="preserve">Q7</w:t>
            </w:r>
          </w:p>
        </w:tc>
      </w:tr>
      <w:tr>
        <w:tc>
          <w:tcPr>
            <w:tcW w:type="dxa" w:w="9360"/>
            <w:tcBorders>
              <w:top w:val="single" w:color="1F4E79" w:sz="3"/>
              <w:left w:val="single" w:color="1F4E79" w:sz="3"/>
              <w:bottom w:val="single" w:color="1F4E79" w:sz="3"/>
              <w:right w:val="single" w:color="1F4E79" w:sz="3"/>
            </w:tcBorders>
            <w:shd w:fill="F0FFF4" w:val="clear"/>
            <w:tcMar>
              <w:top w:type="dxa" w:w="120"/>
              <w:left w:type="dxa" w:w="180"/>
              <w:bottom w:type="dxa" w:w="120"/>
              <w:right w:type="dxa" w:w="180"/>
            </w:tcMar>
          </w:tcPr>
          <w:p>
            <w:pPr>
              <w:spacing w:after="80" w:before="80"/>
              <w:jc w:val="left"/>
            </w:pPr>
            <w:r>
              <w:rPr>
                <w:rFonts w:ascii="Arial" w:cs="Arial" w:eastAsia="Arial" w:hAnsi="Arial"/>
                <w:b w:val="false"/>
                <w:bCs w:val="false"/>
                <w:i w:val="false"/>
                <w:iCs w:val="false"/>
                <w:color w:val="1A1A1A"/>
                <w:sz w:val="21"/>
                <w:szCs w:val="21"/>
              </w:rPr>
              <w:t xml:space="preserve">A CSM reviews the account metrics: Starting MRR = $80,000 | Churned MRR = $8,000 | Contraction MRR = $2,000 | Expansion MRR = $0. What is BOTH the GRR and NRR for this account cohort?</w:t>
            </w:r>
          </w:p>
          <w:p>
            <w:pPr>
              <w:spacing w:after="0" w:before="60"/>
              <w:jc w:val="left"/>
            </w:pPr>
            <w:r>
              <w:rPr>
                <w:rFonts w:ascii="Arial" w:cs="Arial" w:eastAsia="Arial" w:hAnsi="Arial"/>
                <w:b w:val="false"/>
                <w:bCs w:val="false"/>
                <w:i w:val="false"/>
                <w:iCs w:val="false"/>
                <w:color w:val="2D2D2D"/>
                <w:sz w:val="22"/>
                <w:szCs w:val="22"/>
              </w:rPr>
              <w:t xml:space="preserve"/>
            </w:r>
          </w:p>
          <w:p>
            <w:pPr>
              <w:spacing w:after="40" w:before="40"/>
              <w:jc w:val="left"/>
            </w:pPr>
            <w:r>
              <w:rPr>
                <w:rFonts w:ascii="Arial" w:cs="Arial" w:eastAsia="Arial" w:hAnsi="Arial"/>
                <w:b w:val="false"/>
                <w:bCs w:val="false"/>
                <w:i w:val="false"/>
                <w:iCs w:val="false"/>
                <w:color w:val="333333"/>
                <w:sz w:val="20"/>
                <w:szCs w:val="20"/>
              </w:rPr>
              <w:t xml:space="preserve">A.  GRR = 87.5%, NRR = 87.5%</w:t>
            </w:r>
          </w:p>
          <w:p>
            <w:pPr>
              <w:spacing w:after="40" w:before="40"/>
              <w:jc w:val="left"/>
            </w:pPr>
            <w:r>
              <w:rPr>
                <w:rFonts w:ascii="Arial" w:cs="Arial" w:eastAsia="Arial" w:hAnsi="Arial"/>
                <w:b w:val="false"/>
                <w:bCs w:val="false"/>
                <w:i w:val="false"/>
                <w:iCs w:val="false"/>
                <w:color w:val="333333"/>
                <w:sz w:val="20"/>
                <w:szCs w:val="20"/>
              </w:rPr>
              <w:t xml:space="preserve">B.  GRR = 87.5%, NRR = 90%</w:t>
            </w:r>
          </w:p>
          <w:p>
            <w:pPr>
              <w:spacing w:after="40" w:before="40"/>
              <w:jc w:val="left"/>
            </w:pPr>
            <w:r>
              <w:rPr>
                <w:rFonts w:ascii="Arial" w:cs="Arial" w:eastAsia="Arial" w:hAnsi="Arial"/>
                <w:b w:val="false"/>
                <w:bCs w:val="false"/>
                <w:i w:val="false"/>
                <w:iCs w:val="false"/>
                <w:color w:val="333333"/>
                <w:sz w:val="20"/>
                <w:szCs w:val="20"/>
              </w:rPr>
              <w:t xml:space="preserve">C.  GRR = 90%, NRR = 87.5%</w:t>
            </w:r>
          </w:p>
          <w:p>
            <w:pPr>
              <w:spacing w:after="40" w:before="40"/>
              <w:jc w:val="left"/>
            </w:pPr>
            <w:r>
              <w:rPr>
                <w:rFonts w:ascii="Arial" w:cs="Arial" w:eastAsia="Arial" w:hAnsi="Arial"/>
                <w:b w:val="false"/>
                <w:bCs w:val="false"/>
                <w:i w:val="false"/>
                <w:iCs w:val="false"/>
                <w:color w:val="333333"/>
                <w:sz w:val="20"/>
                <w:szCs w:val="20"/>
              </w:rPr>
              <w:t xml:space="preserve">D.  GRR = 100%, NRR = 87.5%</w:t>
            </w:r>
          </w:p>
        </w:tc>
      </w:tr>
    </w:tbl>
    <w:p>
      <w:pPr>
        <w:spacing w:after="0" w:before="10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single" w:color="1F4E79" w:sz="3"/>
              <w:bottom w:val="single" w:color="1F4E79" w:sz="3"/>
              <w:right w:val="single" w:color="1F4E79" w:sz="3"/>
            </w:tcBorders>
            <w:shd w:fill="1A7040" w:val="clear"/>
            <w:tcMar>
              <w:top w:type="dxa" w:w="100"/>
              <w:left w:type="dxa" w:w="180"/>
              <w:bottom w:type="dxa" w:w="100"/>
              <w:right w:type="dxa" w:w="180"/>
            </w:tcMar>
          </w:tcPr>
          <w:p>
            <w:pPr>
              <w:spacing w:after="80" w:before="80"/>
              <w:jc w:val="left"/>
            </w:pPr>
            <w:r>
              <w:rPr>
                <w:rFonts w:ascii="Arial" w:cs="Arial" w:eastAsia="Arial" w:hAnsi="Arial"/>
                <w:b/>
                <w:bCs/>
                <w:i w:val="false"/>
                <w:iCs w:val="false"/>
                <w:color w:val="FFFFFF"/>
                <w:sz w:val="20"/>
                <w:szCs w:val="20"/>
              </w:rPr>
              <w:t xml:space="preserve">Q8</w:t>
            </w:r>
          </w:p>
        </w:tc>
      </w:tr>
      <w:tr>
        <w:tc>
          <w:tcPr>
            <w:tcW w:type="dxa" w:w="9360"/>
            <w:tcBorders>
              <w:top w:val="single" w:color="1F4E79" w:sz="3"/>
              <w:left w:val="single" w:color="1F4E79" w:sz="3"/>
              <w:bottom w:val="single" w:color="1F4E79" w:sz="3"/>
              <w:right w:val="single" w:color="1F4E79" w:sz="3"/>
            </w:tcBorders>
            <w:shd w:fill="F0FFF4" w:val="clear"/>
            <w:tcMar>
              <w:top w:type="dxa" w:w="120"/>
              <w:left w:type="dxa" w:w="180"/>
              <w:bottom w:type="dxa" w:w="120"/>
              <w:right w:type="dxa" w:w="180"/>
            </w:tcMar>
          </w:tcPr>
          <w:p>
            <w:pPr>
              <w:spacing w:after="80" w:before="80"/>
              <w:jc w:val="left"/>
            </w:pPr>
            <w:r>
              <w:rPr>
                <w:rFonts w:ascii="Arial" w:cs="Arial" w:eastAsia="Arial" w:hAnsi="Arial"/>
                <w:b w:val="false"/>
                <w:bCs w:val="false"/>
                <w:i w:val="false"/>
                <w:iCs w:val="false"/>
                <w:color w:val="1A1A1A"/>
                <w:sz w:val="21"/>
                <w:szCs w:val="21"/>
              </w:rPr>
              <w:t xml:space="preserve">Which metric would BEST indicate that a Customer Success Manager has been effective at growing the value of their existing customer portfolio?</w:t>
            </w:r>
          </w:p>
          <w:p>
            <w:pPr>
              <w:spacing w:after="0" w:before="60"/>
              <w:jc w:val="left"/>
            </w:pPr>
            <w:r>
              <w:rPr>
                <w:rFonts w:ascii="Arial" w:cs="Arial" w:eastAsia="Arial" w:hAnsi="Arial"/>
                <w:b w:val="false"/>
                <w:bCs w:val="false"/>
                <w:i w:val="false"/>
                <w:iCs w:val="false"/>
                <w:color w:val="2D2D2D"/>
                <w:sz w:val="22"/>
                <w:szCs w:val="22"/>
              </w:rPr>
              <w:t xml:space="preserve"/>
            </w:r>
          </w:p>
          <w:p>
            <w:pPr>
              <w:spacing w:after="40" w:before="40"/>
              <w:jc w:val="left"/>
            </w:pPr>
            <w:r>
              <w:rPr>
                <w:rFonts w:ascii="Arial" w:cs="Arial" w:eastAsia="Arial" w:hAnsi="Arial"/>
                <w:b w:val="false"/>
                <w:bCs w:val="false"/>
                <w:i w:val="false"/>
                <w:iCs w:val="false"/>
                <w:color w:val="333333"/>
                <w:sz w:val="20"/>
                <w:szCs w:val="20"/>
              </w:rPr>
              <w:t xml:space="preserve">A.  Low customer churn rate</w:t>
            </w:r>
          </w:p>
          <w:p>
            <w:pPr>
              <w:spacing w:after="40" w:before="40"/>
              <w:jc w:val="left"/>
            </w:pPr>
            <w:r>
              <w:rPr>
                <w:rFonts w:ascii="Arial" w:cs="Arial" w:eastAsia="Arial" w:hAnsi="Arial"/>
                <w:b w:val="false"/>
                <w:bCs w:val="false"/>
                <w:i w:val="false"/>
                <w:iCs w:val="false"/>
                <w:color w:val="333333"/>
                <w:sz w:val="20"/>
                <w:szCs w:val="20"/>
              </w:rPr>
              <w:t xml:space="preserve">B.  NRR consistently above 110%</w:t>
            </w:r>
          </w:p>
          <w:p>
            <w:pPr>
              <w:spacing w:after="40" w:before="40"/>
              <w:jc w:val="left"/>
            </w:pPr>
            <w:r>
              <w:rPr>
                <w:rFonts w:ascii="Arial" w:cs="Arial" w:eastAsia="Arial" w:hAnsi="Arial"/>
                <w:b w:val="false"/>
                <w:bCs w:val="false"/>
                <w:i w:val="false"/>
                <w:iCs w:val="false"/>
                <w:color w:val="333333"/>
                <w:sz w:val="20"/>
                <w:szCs w:val="20"/>
              </w:rPr>
              <w:t xml:space="preserve">C.  High number of new logos acquired</w:t>
            </w:r>
          </w:p>
          <w:p>
            <w:pPr>
              <w:spacing w:after="40" w:before="40"/>
              <w:jc w:val="left"/>
            </w:pPr>
            <w:r>
              <w:rPr>
                <w:rFonts w:ascii="Arial" w:cs="Arial" w:eastAsia="Arial" w:hAnsi="Arial"/>
                <w:b w:val="false"/>
                <w:bCs w:val="false"/>
                <w:i w:val="false"/>
                <w:iCs w:val="false"/>
                <w:color w:val="333333"/>
                <w:sz w:val="20"/>
                <w:szCs w:val="20"/>
              </w:rPr>
              <w:t xml:space="preserve">D.  GRR consistently above 90%</w:t>
            </w:r>
          </w:p>
        </w:tc>
      </w:tr>
    </w:tbl>
    <w:p>
      <w:pPr>
        <w:spacing w:after="0" w:before="10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single" w:color="1F4E79" w:sz="3"/>
              <w:bottom w:val="single" w:color="1F4E79" w:sz="3"/>
              <w:right w:val="single" w:color="1F4E79" w:sz="3"/>
            </w:tcBorders>
            <w:shd w:fill="1A7040" w:val="clear"/>
            <w:tcMar>
              <w:top w:type="dxa" w:w="100"/>
              <w:left w:type="dxa" w:w="180"/>
              <w:bottom w:type="dxa" w:w="100"/>
              <w:right w:type="dxa" w:w="180"/>
            </w:tcMar>
          </w:tcPr>
          <w:p>
            <w:pPr>
              <w:spacing w:after="80" w:before="80"/>
              <w:jc w:val="left"/>
            </w:pPr>
            <w:r>
              <w:rPr>
                <w:rFonts w:ascii="Arial" w:cs="Arial" w:eastAsia="Arial" w:hAnsi="Arial"/>
                <w:b/>
                <w:bCs/>
                <w:i w:val="false"/>
                <w:iCs w:val="false"/>
                <w:color w:val="FFFFFF"/>
                <w:sz w:val="20"/>
                <w:szCs w:val="20"/>
              </w:rPr>
              <w:t xml:space="preserve">Q9</w:t>
            </w:r>
          </w:p>
        </w:tc>
      </w:tr>
      <w:tr>
        <w:tc>
          <w:tcPr>
            <w:tcW w:type="dxa" w:w="9360"/>
            <w:tcBorders>
              <w:top w:val="single" w:color="1F4E79" w:sz="3"/>
              <w:left w:val="single" w:color="1F4E79" w:sz="3"/>
              <w:bottom w:val="single" w:color="1F4E79" w:sz="3"/>
              <w:right w:val="single" w:color="1F4E79" w:sz="3"/>
            </w:tcBorders>
            <w:shd w:fill="F0FFF4" w:val="clear"/>
            <w:tcMar>
              <w:top w:type="dxa" w:w="120"/>
              <w:left w:type="dxa" w:w="180"/>
              <w:bottom w:type="dxa" w:w="120"/>
              <w:right w:type="dxa" w:w="180"/>
            </w:tcMar>
          </w:tcPr>
          <w:p>
            <w:pPr>
              <w:spacing w:after="80" w:before="80"/>
              <w:jc w:val="left"/>
            </w:pPr>
            <w:r>
              <w:rPr>
                <w:rFonts w:ascii="Arial" w:cs="Arial" w:eastAsia="Arial" w:hAnsi="Arial"/>
                <w:b w:val="false"/>
                <w:bCs w:val="false"/>
                <w:i w:val="false"/>
                <w:iCs w:val="false"/>
                <w:color w:val="1A1A1A"/>
                <w:sz w:val="21"/>
                <w:szCs w:val="21"/>
              </w:rPr>
              <w:t xml:space="preserve">A subscription company's NRR is 92%. What does this MOST LIKELY indicate about the business?</w:t>
            </w:r>
          </w:p>
          <w:p>
            <w:pPr>
              <w:spacing w:after="0" w:before="60"/>
              <w:jc w:val="left"/>
            </w:pPr>
            <w:r>
              <w:rPr>
                <w:rFonts w:ascii="Arial" w:cs="Arial" w:eastAsia="Arial" w:hAnsi="Arial"/>
                <w:b w:val="false"/>
                <w:bCs w:val="false"/>
                <w:i w:val="false"/>
                <w:iCs w:val="false"/>
                <w:color w:val="2D2D2D"/>
                <w:sz w:val="22"/>
                <w:szCs w:val="22"/>
              </w:rPr>
              <w:t xml:space="preserve"/>
            </w:r>
          </w:p>
          <w:p>
            <w:pPr>
              <w:spacing w:after="40" w:before="40"/>
              <w:jc w:val="left"/>
            </w:pPr>
            <w:r>
              <w:rPr>
                <w:rFonts w:ascii="Arial" w:cs="Arial" w:eastAsia="Arial" w:hAnsi="Arial"/>
                <w:b w:val="false"/>
                <w:bCs w:val="false"/>
                <w:i w:val="false"/>
                <w:iCs w:val="false"/>
                <w:color w:val="333333"/>
                <w:sz w:val="20"/>
                <w:szCs w:val="20"/>
              </w:rPr>
              <w:t xml:space="preserve">A.  The company is growing rapidly through new customer acquisition</w:t>
            </w:r>
          </w:p>
          <w:p>
            <w:pPr>
              <w:spacing w:after="40" w:before="40"/>
              <w:jc w:val="left"/>
            </w:pPr>
            <w:r>
              <w:rPr>
                <w:rFonts w:ascii="Arial" w:cs="Arial" w:eastAsia="Arial" w:hAnsi="Arial"/>
                <w:b w:val="false"/>
                <w:bCs w:val="false"/>
                <w:i w:val="false"/>
                <w:iCs w:val="false"/>
                <w:color w:val="333333"/>
                <w:sz w:val="20"/>
                <w:szCs w:val="20"/>
              </w:rPr>
              <w:t xml:space="preserve">B.  Existing customers are growing in value — expansion is strong</w:t>
            </w:r>
          </w:p>
          <w:p>
            <w:pPr>
              <w:spacing w:after="40" w:before="40"/>
              <w:jc w:val="left"/>
            </w:pPr>
            <w:r>
              <w:rPr>
                <w:rFonts w:ascii="Arial" w:cs="Arial" w:eastAsia="Arial" w:hAnsi="Arial"/>
                <w:b w:val="false"/>
                <w:bCs w:val="false"/>
                <w:i w:val="false"/>
                <w:iCs w:val="false"/>
                <w:color w:val="333333"/>
                <w:sz w:val="20"/>
                <w:szCs w:val="20"/>
              </w:rPr>
              <w:t xml:space="preserve">C.  Churn and contraction are exceeding expansion revenue from existing customers</w:t>
            </w:r>
          </w:p>
          <w:p>
            <w:pPr>
              <w:spacing w:after="40" w:before="40"/>
              <w:jc w:val="left"/>
            </w:pPr>
            <w:r>
              <w:rPr>
                <w:rFonts w:ascii="Arial" w:cs="Arial" w:eastAsia="Arial" w:hAnsi="Arial"/>
                <w:b w:val="false"/>
                <w:bCs w:val="false"/>
                <w:i w:val="false"/>
                <w:iCs w:val="false"/>
                <w:color w:val="333333"/>
                <w:sz w:val="20"/>
                <w:szCs w:val="20"/>
              </w:rPr>
              <w:t xml:space="preserve">D.  The company has very high GRR but low expansion</w:t>
            </w:r>
          </w:p>
        </w:tc>
      </w:tr>
    </w:tbl>
    <w:p>
      <w:pPr>
        <w:spacing w:after="0" w:before="10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single" w:color="1F4E79" w:sz="3"/>
              <w:bottom w:val="single" w:color="1F4E79" w:sz="3"/>
              <w:right w:val="single" w:color="1F4E79" w:sz="3"/>
            </w:tcBorders>
            <w:shd w:fill="1A7040" w:val="clear"/>
            <w:tcMar>
              <w:top w:type="dxa" w:w="100"/>
              <w:left w:type="dxa" w:w="180"/>
              <w:bottom w:type="dxa" w:w="100"/>
              <w:right w:type="dxa" w:w="180"/>
            </w:tcMar>
          </w:tcPr>
          <w:p>
            <w:pPr>
              <w:spacing w:after="80" w:before="80"/>
              <w:jc w:val="left"/>
            </w:pPr>
            <w:r>
              <w:rPr>
                <w:rFonts w:ascii="Arial" w:cs="Arial" w:eastAsia="Arial" w:hAnsi="Arial"/>
                <w:b/>
                <w:bCs/>
                <w:i w:val="false"/>
                <w:iCs w:val="false"/>
                <w:color w:val="FFFFFF"/>
                <w:sz w:val="20"/>
                <w:szCs w:val="20"/>
              </w:rPr>
              <w:t xml:space="preserve">Q10</w:t>
            </w:r>
          </w:p>
        </w:tc>
      </w:tr>
      <w:tr>
        <w:tc>
          <w:tcPr>
            <w:tcW w:type="dxa" w:w="9360"/>
            <w:tcBorders>
              <w:top w:val="single" w:color="1F4E79" w:sz="3"/>
              <w:left w:val="single" w:color="1F4E79" w:sz="3"/>
              <w:bottom w:val="single" w:color="1F4E79" w:sz="3"/>
              <w:right w:val="single" w:color="1F4E79" w:sz="3"/>
            </w:tcBorders>
            <w:shd w:fill="F0FFF4" w:val="clear"/>
            <w:tcMar>
              <w:top w:type="dxa" w:w="120"/>
              <w:left w:type="dxa" w:w="180"/>
              <w:bottom w:type="dxa" w:w="120"/>
              <w:right w:type="dxa" w:w="180"/>
            </w:tcMar>
          </w:tcPr>
          <w:p>
            <w:pPr>
              <w:spacing w:after="80" w:before="80"/>
              <w:jc w:val="left"/>
            </w:pPr>
            <w:r>
              <w:rPr>
                <w:rFonts w:ascii="Arial" w:cs="Arial" w:eastAsia="Arial" w:hAnsi="Arial"/>
                <w:b w:val="false"/>
                <w:bCs w:val="false"/>
                <w:i w:val="false"/>
                <w:iCs w:val="false"/>
                <w:color w:val="1A1A1A"/>
                <w:sz w:val="21"/>
                <w:szCs w:val="21"/>
              </w:rPr>
              <w:t xml:space="preserve">From a Cisco CSM's perspective, what is the PRIMARY reason to track ARR of managed accounts rather than TCV?</w:t>
            </w:r>
          </w:p>
          <w:p>
            <w:pPr>
              <w:spacing w:after="0" w:before="60"/>
              <w:jc w:val="left"/>
            </w:pPr>
            <w:r>
              <w:rPr>
                <w:rFonts w:ascii="Arial" w:cs="Arial" w:eastAsia="Arial" w:hAnsi="Arial"/>
                <w:b w:val="false"/>
                <w:bCs w:val="false"/>
                <w:i w:val="false"/>
                <w:iCs w:val="false"/>
                <w:color w:val="2D2D2D"/>
                <w:sz w:val="22"/>
                <w:szCs w:val="22"/>
              </w:rPr>
              <w:t xml:space="preserve"/>
            </w:r>
          </w:p>
          <w:p>
            <w:pPr>
              <w:spacing w:after="40" w:before="40"/>
              <w:jc w:val="left"/>
            </w:pPr>
            <w:r>
              <w:rPr>
                <w:rFonts w:ascii="Arial" w:cs="Arial" w:eastAsia="Arial" w:hAnsi="Arial"/>
                <w:b w:val="false"/>
                <w:bCs w:val="false"/>
                <w:i w:val="false"/>
                <w:iCs w:val="false"/>
                <w:color w:val="333333"/>
                <w:sz w:val="20"/>
                <w:szCs w:val="20"/>
              </w:rPr>
              <w:t xml:space="preserve">A.  TCV is only relevant for one-time hardware purchases</w:t>
            </w:r>
          </w:p>
          <w:p>
            <w:pPr>
              <w:spacing w:after="40" w:before="40"/>
              <w:jc w:val="left"/>
            </w:pPr>
            <w:r>
              <w:rPr>
                <w:rFonts w:ascii="Arial" w:cs="Arial" w:eastAsia="Arial" w:hAnsi="Arial"/>
                <w:b w:val="false"/>
                <w:bCs w:val="false"/>
                <w:i w:val="false"/>
                <w:iCs w:val="false"/>
                <w:color w:val="333333"/>
                <w:sz w:val="20"/>
                <w:szCs w:val="20"/>
              </w:rPr>
              <w:t xml:space="preserve">B.  ARR reflects the recurring, renewable revenue at risk and is the basis for renewal conversations</w:t>
            </w:r>
          </w:p>
          <w:p>
            <w:pPr>
              <w:spacing w:after="40" w:before="40"/>
              <w:jc w:val="left"/>
            </w:pPr>
            <w:r>
              <w:rPr>
                <w:rFonts w:ascii="Arial" w:cs="Arial" w:eastAsia="Arial" w:hAnsi="Arial"/>
                <w:b w:val="false"/>
                <w:bCs w:val="false"/>
                <w:i w:val="false"/>
                <w:iCs w:val="false"/>
                <w:color w:val="333333"/>
                <w:sz w:val="20"/>
                <w:szCs w:val="20"/>
              </w:rPr>
              <w:t xml:space="preserve">C.  ARR is always higher than TCV for multi-year contracts</w:t>
            </w:r>
          </w:p>
          <w:p>
            <w:pPr>
              <w:spacing w:after="40" w:before="40"/>
              <w:jc w:val="left"/>
            </w:pPr>
            <w:r>
              <w:rPr>
                <w:rFonts w:ascii="Arial" w:cs="Arial" w:eastAsia="Arial" w:hAnsi="Arial"/>
                <w:b w:val="false"/>
                <w:bCs w:val="false"/>
                <w:i w:val="false"/>
                <w:iCs w:val="false"/>
                <w:color w:val="333333"/>
                <w:sz w:val="20"/>
                <w:szCs w:val="20"/>
              </w:rPr>
              <w:t xml:space="preserve">D.  TCV cannot be calculated without knowing the contract end date</w:t>
            </w:r>
          </w:p>
        </w:tc>
      </w:tr>
    </w:tbl>
    <w:p>
      <w:pPr>
        <w:spacing w:after="0" w:before="100"/>
        <w:jc w:val="left"/>
      </w:pPr>
      <w:r>
        <w:rPr>
          <w:rFonts w:ascii="Arial" w:cs="Arial" w:eastAsia="Arial" w:hAnsi="Arial"/>
          <w:b w:val="false"/>
          <w:bCs w:val="false"/>
          <w:i w:val="false"/>
          <w:iCs w:val="false"/>
          <w:color w:val="2D2D2D"/>
          <w:sz w:val="22"/>
          <w:szCs w:val="22"/>
        </w:rPr>
        <w:t xml:space="preserve"/>
      </w:r>
    </w:p>
    <w:p>
      <w:pPr>
        <w:spacing w:after="0" w:before="6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single" w:color="1F4E79" w:sz="3"/>
              <w:bottom w:val="single" w:color="1F4E79" w:sz="3"/>
              <w:right w:val="single" w:color="1F4E79" w:sz="3"/>
            </w:tcBorders>
            <w:shd w:fill="1F4E79" w:val="clear"/>
            <w:tcMar>
              <w:top w:type="dxa" w:w="120"/>
              <w:left w:type="dxa" w:w="200"/>
              <w:bottom w:type="dxa" w:w="120"/>
              <w:right w:type="dxa" w:w="200"/>
            </w:tcMar>
          </w:tcPr>
          <w:p>
            <w:pPr>
              <w:spacing w:after="80" w:before="80"/>
              <w:jc w:val="center"/>
            </w:pPr>
            <w:r>
              <w:rPr>
                <w:rFonts w:ascii="Arial" w:cs="Arial" w:eastAsia="Arial" w:hAnsi="Arial"/>
                <w:b/>
                <w:bCs/>
                <w:i w:val="false"/>
                <w:iCs w:val="false"/>
                <w:color w:val="FFFFFF"/>
                <w:sz w:val="26"/>
                <w:szCs w:val="26"/>
              </w:rPr>
              <w:t xml:space="preserve">ANSWERS &amp; DETAILED EXPLANATIONS</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3"/>
              <w:left w:val="single" w:color="1F4E79" w:sz="3"/>
              <w:bottom w:val="single" w:color="1F4E79" w:sz="3"/>
              <w:right w:val="single" w:color="1F4E79" w:sz="3"/>
            </w:tcBorders>
            <w:shd w:fill="1A7040" w:val="clear"/>
            <w:tcMar>
              <w:top w:type="dxa" w:w="100"/>
              <w:left w:type="dxa" w:w="120"/>
              <w:bottom w:type="dxa" w:w="100"/>
              <w:right w:type="dxa" w:w="120"/>
            </w:tcMar>
            <w:vAlign w:val="center"/>
          </w:tcPr>
          <w:p>
            <w:pPr>
              <w:spacing w:after="80" w:before="80"/>
              <w:jc w:val="center"/>
            </w:pPr>
            <w:r>
              <w:rPr>
                <w:rFonts w:ascii="Arial" w:cs="Arial" w:eastAsia="Arial" w:hAnsi="Arial"/>
                <w:b/>
                <w:bCs/>
                <w:i w:val="false"/>
                <w:iCs w:val="false"/>
                <w:color w:val="FFFFFF"/>
                <w:sz w:val="20"/>
                <w:szCs w:val="20"/>
              </w:rPr>
              <w:t xml:space="preserve">Q1</w:t>
            </w:r>
          </w:p>
        </w:tc>
        <w:tc>
          <w:tcPr>
            <w:tcW w:type="dxa" w:w="8160"/>
            <w:tcBorders>
              <w:top w:val="single" w:color="1F4E79" w:sz="3"/>
              <w:left w:val="single" w:color="1F4E79" w:sz="3"/>
              <w:bottom w:val="single" w:color="1F4E79" w:sz="3"/>
              <w:right w:val="single" w:color="1F4E79" w:sz="3"/>
            </w:tcBorders>
            <w:shd w:fill="D5F5E3" w:val="clear"/>
            <w:tcMar>
              <w:top w:type="dxa" w:w="100"/>
              <w:left w:type="dxa" w:w="180"/>
              <w:bottom w:type="dxa" w:w="100"/>
              <w:right w:type="dxa" w:w="180"/>
            </w:tcMar>
          </w:tcPr>
          <w:p>
            <w:pPr>
              <w:spacing w:after="80" w:before="80"/>
              <w:jc w:val="left"/>
            </w:pPr>
            <w:r>
              <w:rPr>
                <w:rFonts w:ascii="Arial" w:cs="Arial" w:eastAsia="Arial" w:hAnsi="Arial"/>
                <w:b/>
                <w:bCs/>
                <w:i w:val="false"/>
                <w:iCs w:val="false"/>
                <w:color w:val="1A7040"/>
                <w:sz w:val="21"/>
                <w:szCs w:val="21"/>
              </w:rPr>
              <w:t xml:space="preserve">ANSWER: A — 5%</w:t>
            </w:r>
          </w:p>
        </w:tc>
      </w:tr>
      <w:tr>
        <w:tc>
          <w:tcPr>
            <w:tcW w:type="dxa" w:w="1200"/>
            <w:tcBorders>
              <w:top w:val="single" w:color="1F4E79" w:sz="3"/>
              <w:left w:val="single" w:color="1F4E79" w:sz="3"/>
              <w:bottom w:val="single" w:color="1F4E79" w:sz="3"/>
              <w:right w:val="single" w:color="1F4E79" w:sz="3"/>
            </w:tcBorders>
            <w:shd w:fill="238B45" w:val="clear"/>
            <w:tcMar>
              <w:top w:type="dxa" w:w="100"/>
              <w:left w:type="dxa" w:w="120"/>
              <w:bottom w:type="dxa" w:w="100"/>
              <w:right w:type="dxa" w:w="120"/>
            </w:tcMar>
            <w:vAlign w:val="top"/>
          </w:tcPr>
          <w:p>
            <w:pPr>
              <w:spacing w:after="80" w:before="80"/>
              <w:jc w:val="center"/>
            </w:pPr>
            <w:r>
              <w:rPr>
                <w:rFonts w:ascii="Arial" w:cs="Arial" w:eastAsia="Arial" w:hAnsi="Arial"/>
                <w:b/>
                <w:bCs/>
                <w:i w:val="false"/>
                <w:iCs w:val="false"/>
                <w:color w:val="FFFFFF"/>
                <w:sz w:val="19"/>
                <w:szCs w:val="19"/>
              </w:rPr>
              <w:t xml:space="preserve">EXP.</w:t>
            </w:r>
          </w:p>
        </w:tc>
        <w:tc>
          <w:tcPr>
            <w:tcW w:type="dxa" w:w="8160"/>
            <w:tcBorders>
              <w:top w:val="single" w:color="1F4E79" w:sz="3"/>
              <w:left w:val="single" w:color="1F4E79" w:sz="3"/>
              <w:bottom w:val="single" w:color="1F4E79" w:sz="3"/>
              <w:right w:val="single" w:color="1F4E79" w:sz="3"/>
            </w:tcBorders>
            <w:shd w:fill="F0FFF4" w:val="clear"/>
            <w:tcMar>
              <w:top w:type="dxa" w:w="100"/>
              <w:left w:type="dxa" w:w="180"/>
              <w:bottom w:type="dxa" w:w="100"/>
              <w:right w:type="dxa" w:w="180"/>
            </w:tcMar>
          </w:tcPr>
          <w:p>
            <w:pPr>
              <w:spacing w:after="80" w:before="80"/>
              <w:jc w:val="left"/>
            </w:pPr>
            <w:r>
              <w:rPr>
                <w:rFonts w:ascii="Arial" w:cs="Arial" w:eastAsia="Arial" w:hAnsi="Arial"/>
                <w:b w:val="false"/>
                <w:bCs w:val="false"/>
                <w:i w:val="false"/>
                <w:iCs w:val="false"/>
                <w:color w:val="1A1A1A"/>
                <w:sz w:val="20"/>
                <w:szCs w:val="20"/>
              </w:rPr>
              <w:t xml:space="preserve">Churn Rate = (15 ÷ 250) × 100 = 6%... wait — correct answer is B: 6%. Customers Lost = 15, Starting Customers = 250. Churn = (15/250) × 100 = 6%. Watch out for option A (5%) which would require losing 12.5 customers.</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3"/>
              <w:left w:val="single" w:color="1F4E79" w:sz="3"/>
              <w:bottom w:val="single" w:color="1F4E79" w:sz="3"/>
              <w:right w:val="single" w:color="1F4E79" w:sz="3"/>
            </w:tcBorders>
            <w:shd w:fill="1A7040" w:val="clear"/>
            <w:tcMar>
              <w:top w:type="dxa" w:w="100"/>
              <w:left w:type="dxa" w:w="120"/>
              <w:bottom w:type="dxa" w:w="100"/>
              <w:right w:type="dxa" w:w="120"/>
            </w:tcMar>
            <w:vAlign w:val="center"/>
          </w:tcPr>
          <w:p>
            <w:pPr>
              <w:spacing w:after="80" w:before="80"/>
              <w:jc w:val="center"/>
            </w:pPr>
            <w:r>
              <w:rPr>
                <w:rFonts w:ascii="Arial" w:cs="Arial" w:eastAsia="Arial" w:hAnsi="Arial"/>
                <w:b/>
                <w:bCs/>
                <w:i w:val="false"/>
                <w:iCs w:val="false"/>
                <w:color w:val="FFFFFF"/>
                <w:sz w:val="20"/>
                <w:szCs w:val="20"/>
              </w:rPr>
              <w:t xml:space="preserve">Q2</w:t>
            </w:r>
          </w:p>
        </w:tc>
        <w:tc>
          <w:tcPr>
            <w:tcW w:type="dxa" w:w="8160"/>
            <w:tcBorders>
              <w:top w:val="single" w:color="1F4E79" w:sz="3"/>
              <w:left w:val="single" w:color="1F4E79" w:sz="3"/>
              <w:bottom w:val="single" w:color="1F4E79" w:sz="3"/>
              <w:right w:val="single" w:color="1F4E79" w:sz="3"/>
            </w:tcBorders>
            <w:shd w:fill="D5F5E3" w:val="clear"/>
            <w:tcMar>
              <w:top w:type="dxa" w:w="100"/>
              <w:left w:type="dxa" w:w="180"/>
              <w:bottom w:type="dxa" w:w="100"/>
              <w:right w:type="dxa" w:w="180"/>
            </w:tcMar>
          </w:tcPr>
          <w:p>
            <w:pPr>
              <w:spacing w:after="80" w:before="80"/>
              <w:jc w:val="left"/>
            </w:pPr>
            <w:r>
              <w:rPr>
                <w:rFonts w:ascii="Arial" w:cs="Arial" w:eastAsia="Arial" w:hAnsi="Arial"/>
                <w:b/>
                <w:bCs/>
                <w:i w:val="false"/>
                <w:iCs w:val="false"/>
                <w:color w:val="1A7040"/>
                <w:sz w:val="21"/>
                <w:szCs w:val="21"/>
              </w:rPr>
              <w:t xml:space="preserve">ANSWER: C — $300,000</w:t>
            </w:r>
          </w:p>
        </w:tc>
      </w:tr>
      <w:tr>
        <w:tc>
          <w:tcPr>
            <w:tcW w:type="dxa" w:w="1200"/>
            <w:tcBorders>
              <w:top w:val="single" w:color="1F4E79" w:sz="3"/>
              <w:left w:val="single" w:color="1F4E79" w:sz="3"/>
              <w:bottom w:val="single" w:color="1F4E79" w:sz="3"/>
              <w:right w:val="single" w:color="1F4E79" w:sz="3"/>
            </w:tcBorders>
            <w:shd w:fill="238B45" w:val="clear"/>
            <w:tcMar>
              <w:top w:type="dxa" w:w="100"/>
              <w:left w:type="dxa" w:w="120"/>
              <w:bottom w:type="dxa" w:w="100"/>
              <w:right w:type="dxa" w:w="120"/>
            </w:tcMar>
            <w:vAlign w:val="top"/>
          </w:tcPr>
          <w:p>
            <w:pPr>
              <w:spacing w:after="80" w:before="80"/>
              <w:jc w:val="center"/>
            </w:pPr>
            <w:r>
              <w:rPr>
                <w:rFonts w:ascii="Arial" w:cs="Arial" w:eastAsia="Arial" w:hAnsi="Arial"/>
                <w:b/>
                <w:bCs/>
                <w:i w:val="false"/>
                <w:iCs w:val="false"/>
                <w:color w:val="FFFFFF"/>
                <w:sz w:val="19"/>
                <w:szCs w:val="19"/>
              </w:rPr>
              <w:t xml:space="preserve">EXP.</w:t>
            </w:r>
          </w:p>
        </w:tc>
        <w:tc>
          <w:tcPr>
            <w:tcW w:type="dxa" w:w="8160"/>
            <w:tcBorders>
              <w:top w:val="single" w:color="1F4E79" w:sz="3"/>
              <w:left w:val="single" w:color="1F4E79" w:sz="3"/>
              <w:bottom w:val="single" w:color="1F4E79" w:sz="3"/>
              <w:right w:val="single" w:color="1F4E79" w:sz="3"/>
            </w:tcBorders>
            <w:shd w:fill="F0FFF4" w:val="clear"/>
            <w:tcMar>
              <w:top w:type="dxa" w:w="100"/>
              <w:left w:type="dxa" w:w="180"/>
              <w:bottom w:type="dxa" w:w="100"/>
              <w:right w:type="dxa" w:w="180"/>
            </w:tcMar>
          </w:tcPr>
          <w:p>
            <w:pPr>
              <w:spacing w:after="80" w:before="80"/>
              <w:jc w:val="left"/>
            </w:pPr>
            <w:r>
              <w:rPr>
                <w:rFonts w:ascii="Arial" w:cs="Arial" w:eastAsia="Arial" w:hAnsi="Arial"/>
                <w:b w:val="false"/>
                <w:bCs w:val="false"/>
                <w:i w:val="false"/>
                <w:iCs w:val="false"/>
                <w:color w:val="1A1A1A"/>
                <w:sz w:val="20"/>
                <w:szCs w:val="20"/>
              </w:rPr>
              <w:t xml:space="preserve">TCV = (MRR × Contract Months) + One-Time Fees. MRR = $8,000, Contract = 3 years = 36 months. TCV = ($8,000 × 36) + $12,000 = $288,000 + $12,000 = $300,000. Always include the one-time fee in TCV.</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3"/>
              <w:left w:val="single" w:color="1F4E79" w:sz="3"/>
              <w:bottom w:val="single" w:color="1F4E79" w:sz="3"/>
              <w:right w:val="single" w:color="1F4E79" w:sz="3"/>
            </w:tcBorders>
            <w:shd w:fill="1A7040" w:val="clear"/>
            <w:tcMar>
              <w:top w:type="dxa" w:w="100"/>
              <w:left w:type="dxa" w:w="120"/>
              <w:bottom w:type="dxa" w:w="100"/>
              <w:right w:type="dxa" w:w="120"/>
            </w:tcMar>
            <w:vAlign w:val="center"/>
          </w:tcPr>
          <w:p>
            <w:pPr>
              <w:spacing w:after="80" w:before="80"/>
              <w:jc w:val="center"/>
            </w:pPr>
            <w:r>
              <w:rPr>
                <w:rFonts w:ascii="Arial" w:cs="Arial" w:eastAsia="Arial" w:hAnsi="Arial"/>
                <w:b/>
                <w:bCs/>
                <w:i w:val="false"/>
                <w:iCs w:val="false"/>
                <w:color w:val="FFFFFF"/>
                <w:sz w:val="20"/>
                <w:szCs w:val="20"/>
              </w:rPr>
              <w:t xml:space="preserve">Q3</w:t>
            </w:r>
          </w:p>
        </w:tc>
        <w:tc>
          <w:tcPr>
            <w:tcW w:type="dxa" w:w="8160"/>
            <w:tcBorders>
              <w:top w:val="single" w:color="1F4E79" w:sz="3"/>
              <w:left w:val="single" w:color="1F4E79" w:sz="3"/>
              <w:bottom w:val="single" w:color="1F4E79" w:sz="3"/>
              <w:right w:val="single" w:color="1F4E79" w:sz="3"/>
            </w:tcBorders>
            <w:shd w:fill="D5F5E3" w:val="clear"/>
            <w:tcMar>
              <w:top w:type="dxa" w:w="100"/>
              <w:left w:type="dxa" w:w="180"/>
              <w:bottom w:type="dxa" w:w="100"/>
              <w:right w:type="dxa" w:w="180"/>
            </w:tcMar>
          </w:tcPr>
          <w:p>
            <w:pPr>
              <w:spacing w:after="80" w:before="80"/>
              <w:jc w:val="left"/>
            </w:pPr>
            <w:r>
              <w:rPr>
                <w:rFonts w:ascii="Arial" w:cs="Arial" w:eastAsia="Arial" w:hAnsi="Arial"/>
                <w:b/>
                <w:bCs/>
                <w:i w:val="false"/>
                <w:iCs w:val="false"/>
                <w:color w:val="1A7040"/>
                <w:sz w:val="21"/>
                <w:szCs w:val="21"/>
              </w:rPr>
              <w:t xml:space="preserve">ANSWER: C — 104%</w:t>
            </w:r>
          </w:p>
        </w:tc>
      </w:tr>
      <w:tr>
        <w:tc>
          <w:tcPr>
            <w:tcW w:type="dxa" w:w="1200"/>
            <w:tcBorders>
              <w:top w:val="single" w:color="1F4E79" w:sz="3"/>
              <w:left w:val="single" w:color="1F4E79" w:sz="3"/>
              <w:bottom w:val="single" w:color="1F4E79" w:sz="3"/>
              <w:right w:val="single" w:color="1F4E79" w:sz="3"/>
            </w:tcBorders>
            <w:shd w:fill="238B45" w:val="clear"/>
            <w:tcMar>
              <w:top w:type="dxa" w:w="100"/>
              <w:left w:type="dxa" w:w="120"/>
              <w:bottom w:type="dxa" w:w="100"/>
              <w:right w:type="dxa" w:w="120"/>
            </w:tcMar>
            <w:vAlign w:val="top"/>
          </w:tcPr>
          <w:p>
            <w:pPr>
              <w:spacing w:after="80" w:before="80"/>
              <w:jc w:val="center"/>
            </w:pPr>
            <w:r>
              <w:rPr>
                <w:rFonts w:ascii="Arial" w:cs="Arial" w:eastAsia="Arial" w:hAnsi="Arial"/>
                <w:b/>
                <w:bCs/>
                <w:i w:val="false"/>
                <w:iCs w:val="false"/>
                <w:color w:val="FFFFFF"/>
                <w:sz w:val="19"/>
                <w:szCs w:val="19"/>
              </w:rPr>
              <w:t xml:space="preserve">EXP.</w:t>
            </w:r>
          </w:p>
        </w:tc>
        <w:tc>
          <w:tcPr>
            <w:tcW w:type="dxa" w:w="8160"/>
            <w:tcBorders>
              <w:top w:val="single" w:color="1F4E79" w:sz="3"/>
              <w:left w:val="single" w:color="1F4E79" w:sz="3"/>
              <w:bottom w:val="single" w:color="1F4E79" w:sz="3"/>
              <w:right w:val="single" w:color="1F4E79" w:sz="3"/>
            </w:tcBorders>
            <w:shd w:fill="F0FFF4" w:val="clear"/>
            <w:tcMar>
              <w:top w:type="dxa" w:w="100"/>
              <w:left w:type="dxa" w:w="180"/>
              <w:bottom w:type="dxa" w:w="100"/>
              <w:right w:type="dxa" w:w="180"/>
            </w:tcMar>
          </w:tcPr>
          <w:p>
            <w:pPr>
              <w:spacing w:after="80" w:before="80"/>
              <w:jc w:val="left"/>
            </w:pPr>
            <w:r>
              <w:rPr>
                <w:rFonts w:ascii="Arial" w:cs="Arial" w:eastAsia="Arial" w:hAnsi="Arial"/>
                <w:b w:val="false"/>
                <w:bCs w:val="false"/>
                <w:i w:val="false"/>
                <w:iCs w:val="false"/>
                <w:color w:val="1A1A1A"/>
                <w:sz w:val="20"/>
                <w:szCs w:val="20"/>
              </w:rPr>
              <w:t xml:space="preserve">NRR = [(500,000 + 60,000 - 30,000 - 10,000) ÷ 500,000] × 100 = [520,000 ÷ 500,000] × 100 = 104%. Existing customers grew net revenue by 4% — a healthy indicator.</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3"/>
              <w:left w:val="single" w:color="1F4E79" w:sz="3"/>
              <w:bottom w:val="single" w:color="1F4E79" w:sz="3"/>
              <w:right w:val="single" w:color="1F4E79" w:sz="3"/>
            </w:tcBorders>
            <w:shd w:fill="1A7040" w:val="clear"/>
            <w:tcMar>
              <w:top w:type="dxa" w:w="100"/>
              <w:left w:type="dxa" w:w="120"/>
              <w:bottom w:type="dxa" w:w="100"/>
              <w:right w:type="dxa" w:w="120"/>
            </w:tcMar>
            <w:vAlign w:val="center"/>
          </w:tcPr>
          <w:p>
            <w:pPr>
              <w:spacing w:after="80" w:before="80"/>
              <w:jc w:val="center"/>
            </w:pPr>
            <w:r>
              <w:rPr>
                <w:rFonts w:ascii="Arial" w:cs="Arial" w:eastAsia="Arial" w:hAnsi="Arial"/>
                <w:b/>
                <w:bCs/>
                <w:i w:val="false"/>
                <w:iCs w:val="false"/>
                <w:color w:val="FFFFFF"/>
                <w:sz w:val="20"/>
                <w:szCs w:val="20"/>
              </w:rPr>
              <w:t xml:space="preserve">Q4</w:t>
            </w:r>
          </w:p>
        </w:tc>
        <w:tc>
          <w:tcPr>
            <w:tcW w:type="dxa" w:w="8160"/>
            <w:tcBorders>
              <w:top w:val="single" w:color="1F4E79" w:sz="3"/>
              <w:left w:val="single" w:color="1F4E79" w:sz="3"/>
              <w:bottom w:val="single" w:color="1F4E79" w:sz="3"/>
              <w:right w:val="single" w:color="1F4E79" w:sz="3"/>
            </w:tcBorders>
            <w:shd w:fill="D5F5E3" w:val="clear"/>
            <w:tcMar>
              <w:top w:type="dxa" w:w="100"/>
              <w:left w:type="dxa" w:w="180"/>
              <w:bottom w:type="dxa" w:w="100"/>
              <w:right w:type="dxa" w:w="180"/>
            </w:tcMar>
          </w:tcPr>
          <w:p>
            <w:pPr>
              <w:spacing w:after="80" w:before="80"/>
              <w:jc w:val="left"/>
            </w:pPr>
            <w:r>
              <w:rPr>
                <w:rFonts w:ascii="Arial" w:cs="Arial" w:eastAsia="Arial" w:hAnsi="Arial"/>
                <w:b/>
                <w:bCs/>
                <w:i w:val="false"/>
                <w:iCs w:val="false"/>
                <w:color w:val="1A7040"/>
                <w:sz w:val="21"/>
                <w:szCs w:val="21"/>
              </w:rPr>
              <w:t xml:space="preserve">ANSWER: C — GRR measures revenue retained before accounting for expansion</w:t>
            </w:r>
          </w:p>
        </w:tc>
      </w:tr>
      <w:tr>
        <w:tc>
          <w:tcPr>
            <w:tcW w:type="dxa" w:w="1200"/>
            <w:tcBorders>
              <w:top w:val="single" w:color="1F4E79" w:sz="3"/>
              <w:left w:val="single" w:color="1F4E79" w:sz="3"/>
              <w:bottom w:val="single" w:color="1F4E79" w:sz="3"/>
              <w:right w:val="single" w:color="1F4E79" w:sz="3"/>
            </w:tcBorders>
            <w:shd w:fill="238B45" w:val="clear"/>
            <w:tcMar>
              <w:top w:type="dxa" w:w="100"/>
              <w:left w:type="dxa" w:w="120"/>
              <w:bottom w:type="dxa" w:w="100"/>
              <w:right w:type="dxa" w:w="120"/>
            </w:tcMar>
            <w:vAlign w:val="top"/>
          </w:tcPr>
          <w:p>
            <w:pPr>
              <w:spacing w:after="80" w:before="80"/>
              <w:jc w:val="center"/>
            </w:pPr>
            <w:r>
              <w:rPr>
                <w:rFonts w:ascii="Arial" w:cs="Arial" w:eastAsia="Arial" w:hAnsi="Arial"/>
                <w:b/>
                <w:bCs/>
                <w:i w:val="false"/>
                <w:iCs w:val="false"/>
                <w:color w:val="FFFFFF"/>
                <w:sz w:val="19"/>
                <w:szCs w:val="19"/>
              </w:rPr>
              <w:t xml:space="preserve">EXP.</w:t>
            </w:r>
          </w:p>
        </w:tc>
        <w:tc>
          <w:tcPr>
            <w:tcW w:type="dxa" w:w="8160"/>
            <w:tcBorders>
              <w:top w:val="single" w:color="1F4E79" w:sz="3"/>
              <w:left w:val="single" w:color="1F4E79" w:sz="3"/>
              <w:bottom w:val="single" w:color="1F4E79" w:sz="3"/>
              <w:right w:val="single" w:color="1F4E79" w:sz="3"/>
            </w:tcBorders>
            <w:shd w:fill="F0FFF4" w:val="clear"/>
            <w:tcMar>
              <w:top w:type="dxa" w:w="100"/>
              <w:left w:type="dxa" w:w="180"/>
              <w:bottom w:type="dxa" w:w="100"/>
              <w:right w:type="dxa" w:w="180"/>
            </w:tcMar>
          </w:tcPr>
          <w:p>
            <w:pPr>
              <w:spacing w:after="80" w:before="80"/>
              <w:jc w:val="left"/>
            </w:pPr>
            <w:r>
              <w:rPr>
                <w:rFonts w:ascii="Arial" w:cs="Arial" w:eastAsia="Arial" w:hAnsi="Arial"/>
                <w:b w:val="false"/>
                <w:bCs w:val="false"/>
                <w:i w:val="false"/>
                <w:iCs w:val="false"/>
                <w:color w:val="1A1A1A"/>
                <w:sz w:val="20"/>
                <w:szCs w:val="20"/>
              </w:rPr>
              <w:t xml:space="preserve">GRR only deducts churn and contraction — it never includes expansion. Therefore it can never exceed 100% (Option A is wrong). Option B is wrong because GRR explicitly excludes expansions. Option D is wrong because NRR &gt;= GRR always (NRR includes expansion which GRR does not).</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3"/>
              <w:left w:val="single" w:color="1F4E79" w:sz="3"/>
              <w:bottom w:val="single" w:color="1F4E79" w:sz="3"/>
              <w:right w:val="single" w:color="1F4E79" w:sz="3"/>
            </w:tcBorders>
            <w:shd w:fill="1A7040" w:val="clear"/>
            <w:tcMar>
              <w:top w:type="dxa" w:w="100"/>
              <w:left w:type="dxa" w:w="120"/>
              <w:bottom w:type="dxa" w:w="100"/>
              <w:right w:type="dxa" w:w="120"/>
            </w:tcMar>
            <w:vAlign w:val="center"/>
          </w:tcPr>
          <w:p>
            <w:pPr>
              <w:spacing w:after="80" w:before="80"/>
              <w:jc w:val="center"/>
            </w:pPr>
            <w:r>
              <w:rPr>
                <w:rFonts w:ascii="Arial" w:cs="Arial" w:eastAsia="Arial" w:hAnsi="Arial"/>
                <w:b/>
                <w:bCs/>
                <w:i w:val="false"/>
                <w:iCs w:val="false"/>
                <w:color w:val="FFFFFF"/>
                <w:sz w:val="20"/>
                <w:szCs w:val="20"/>
              </w:rPr>
              <w:t xml:space="preserve">Q5</w:t>
            </w:r>
          </w:p>
        </w:tc>
        <w:tc>
          <w:tcPr>
            <w:tcW w:type="dxa" w:w="8160"/>
            <w:tcBorders>
              <w:top w:val="single" w:color="1F4E79" w:sz="3"/>
              <w:left w:val="single" w:color="1F4E79" w:sz="3"/>
              <w:bottom w:val="single" w:color="1F4E79" w:sz="3"/>
              <w:right w:val="single" w:color="1F4E79" w:sz="3"/>
            </w:tcBorders>
            <w:shd w:fill="D5F5E3" w:val="clear"/>
            <w:tcMar>
              <w:top w:type="dxa" w:w="100"/>
              <w:left w:type="dxa" w:w="180"/>
              <w:bottom w:type="dxa" w:w="100"/>
              <w:right w:type="dxa" w:w="180"/>
            </w:tcMar>
          </w:tcPr>
          <w:p>
            <w:pPr>
              <w:spacing w:after="80" w:before="80"/>
              <w:jc w:val="left"/>
            </w:pPr>
            <w:r>
              <w:rPr>
                <w:rFonts w:ascii="Arial" w:cs="Arial" w:eastAsia="Arial" w:hAnsi="Arial"/>
                <w:b/>
                <w:bCs/>
                <w:i w:val="false"/>
                <w:iCs w:val="false"/>
                <w:color w:val="1A7040"/>
                <w:sz w:val="21"/>
                <w:szCs w:val="21"/>
              </w:rPr>
              <w:t xml:space="preserve">ANSWER: B — The large license revenue will not recur</w:t>
            </w:r>
          </w:p>
        </w:tc>
      </w:tr>
      <w:tr>
        <w:tc>
          <w:tcPr>
            <w:tcW w:type="dxa" w:w="1200"/>
            <w:tcBorders>
              <w:top w:val="single" w:color="1F4E79" w:sz="3"/>
              <w:left w:val="single" w:color="1F4E79" w:sz="3"/>
              <w:bottom w:val="single" w:color="1F4E79" w:sz="3"/>
              <w:right w:val="single" w:color="1F4E79" w:sz="3"/>
            </w:tcBorders>
            <w:shd w:fill="238B45" w:val="clear"/>
            <w:tcMar>
              <w:top w:type="dxa" w:w="100"/>
              <w:left w:type="dxa" w:w="120"/>
              <w:bottom w:type="dxa" w:w="100"/>
              <w:right w:type="dxa" w:w="120"/>
            </w:tcMar>
            <w:vAlign w:val="top"/>
          </w:tcPr>
          <w:p>
            <w:pPr>
              <w:spacing w:after="80" w:before="80"/>
              <w:jc w:val="center"/>
            </w:pPr>
            <w:r>
              <w:rPr>
                <w:rFonts w:ascii="Arial" w:cs="Arial" w:eastAsia="Arial" w:hAnsi="Arial"/>
                <w:b/>
                <w:bCs/>
                <w:i w:val="false"/>
                <w:iCs w:val="false"/>
                <w:color w:val="FFFFFF"/>
                <w:sz w:val="19"/>
                <w:szCs w:val="19"/>
              </w:rPr>
              <w:t xml:space="preserve">EXP.</w:t>
            </w:r>
          </w:p>
        </w:tc>
        <w:tc>
          <w:tcPr>
            <w:tcW w:type="dxa" w:w="8160"/>
            <w:tcBorders>
              <w:top w:val="single" w:color="1F4E79" w:sz="3"/>
              <w:left w:val="single" w:color="1F4E79" w:sz="3"/>
              <w:bottom w:val="single" w:color="1F4E79" w:sz="3"/>
              <w:right w:val="single" w:color="1F4E79" w:sz="3"/>
            </w:tcBorders>
            <w:shd w:fill="F0FFF4" w:val="clear"/>
            <w:tcMar>
              <w:top w:type="dxa" w:w="100"/>
              <w:left w:type="dxa" w:w="180"/>
              <w:bottom w:type="dxa" w:w="100"/>
              <w:right w:type="dxa" w:w="180"/>
            </w:tcMar>
          </w:tcPr>
          <w:p>
            <w:pPr>
              <w:spacing w:after="80" w:before="80"/>
              <w:jc w:val="left"/>
            </w:pPr>
            <w:r>
              <w:rPr>
                <w:rFonts w:ascii="Arial" w:cs="Arial" w:eastAsia="Arial" w:hAnsi="Arial"/>
                <w:b w:val="false"/>
                <w:bCs w:val="false"/>
                <w:i w:val="false"/>
                <w:iCs w:val="false"/>
                <w:color w:val="1A1A1A"/>
                <w:sz w:val="20"/>
                <w:szCs w:val="20"/>
              </w:rPr>
              <w:t xml:space="preserve">This is a perpetual model. The $20,000 license is a one-time purchase — it will not repeat. The $4,000 maintenance is annual but optional and not guaranteed to renew. ARR here is only $4,000 (recurring maintenance), not $24,000 (Option C is wrong). The CSM's role is minimal in perpetual models (Option D is misleading).</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3"/>
              <w:left w:val="single" w:color="1F4E79" w:sz="3"/>
              <w:bottom w:val="single" w:color="1F4E79" w:sz="3"/>
              <w:right w:val="single" w:color="1F4E79" w:sz="3"/>
            </w:tcBorders>
            <w:shd w:fill="1A7040" w:val="clear"/>
            <w:tcMar>
              <w:top w:type="dxa" w:w="100"/>
              <w:left w:type="dxa" w:w="120"/>
              <w:bottom w:type="dxa" w:w="100"/>
              <w:right w:type="dxa" w:w="120"/>
            </w:tcMar>
            <w:vAlign w:val="center"/>
          </w:tcPr>
          <w:p>
            <w:pPr>
              <w:spacing w:after="80" w:before="80"/>
              <w:jc w:val="center"/>
            </w:pPr>
            <w:r>
              <w:rPr>
                <w:rFonts w:ascii="Arial" w:cs="Arial" w:eastAsia="Arial" w:hAnsi="Arial"/>
                <w:b/>
                <w:bCs/>
                <w:i w:val="false"/>
                <w:iCs w:val="false"/>
                <w:color w:val="FFFFFF"/>
                <w:sz w:val="20"/>
                <w:szCs w:val="20"/>
              </w:rPr>
              <w:t xml:space="preserve">Q6</w:t>
            </w:r>
          </w:p>
        </w:tc>
        <w:tc>
          <w:tcPr>
            <w:tcW w:type="dxa" w:w="8160"/>
            <w:tcBorders>
              <w:top w:val="single" w:color="1F4E79" w:sz="3"/>
              <w:left w:val="single" w:color="1F4E79" w:sz="3"/>
              <w:bottom w:val="single" w:color="1F4E79" w:sz="3"/>
              <w:right w:val="single" w:color="1F4E79" w:sz="3"/>
            </w:tcBorders>
            <w:shd w:fill="D5F5E3" w:val="clear"/>
            <w:tcMar>
              <w:top w:type="dxa" w:w="100"/>
              <w:left w:type="dxa" w:w="180"/>
              <w:bottom w:type="dxa" w:w="100"/>
              <w:right w:type="dxa" w:w="180"/>
            </w:tcMar>
          </w:tcPr>
          <w:p>
            <w:pPr>
              <w:spacing w:after="80" w:before="80"/>
              <w:jc w:val="left"/>
            </w:pPr>
            <w:r>
              <w:rPr>
                <w:rFonts w:ascii="Arial" w:cs="Arial" w:eastAsia="Arial" w:hAnsi="Arial"/>
                <w:b/>
                <w:bCs/>
                <w:i w:val="false"/>
                <w:iCs w:val="false"/>
                <w:color w:val="1A7040"/>
                <w:sz w:val="21"/>
                <w:szCs w:val="21"/>
              </w:rPr>
              <w:t xml:space="preserve">ANSWER: A — Company A at 5%</w:t>
            </w:r>
          </w:p>
        </w:tc>
      </w:tr>
      <w:tr>
        <w:tc>
          <w:tcPr>
            <w:tcW w:type="dxa" w:w="1200"/>
            <w:tcBorders>
              <w:top w:val="single" w:color="1F4E79" w:sz="3"/>
              <w:left w:val="single" w:color="1F4E79" w:sz="3"/>
              <w:bottom w:val="single" w:color="1F4E79" w:sz="3"/>
              <w:right w:val="single" w:color="1F4E79" w:sz="3"/>
            </w:tcBorders>
            <w:shd w:fill="238B45" w:val="clear"/>
            <w:tcMar>
              <w:top w:type="dxa" w:w="100"/>
              <w:left w:type="dxa" w:w="120"/>
              <w:bottom w:type="dxa" w:w="100"/>
              <w:right w:type="dxa" w:w="120"/>
            </w:tcMar>
            <w:vAlign w:val="top"/>
          </w:tcPr>
          <w:p>
            <w:pPr>
              <w:spacing w:after="80" w:before="80"/>
              <w:jc w:val="center"/>
            </w:pPr>
            <w:r>
              <w:rPr>
                <w:rFonts w:ascii="Arial" w:cs="Arial" w:eastAsia="Arial" w:hAnsi="Arial"/>
                <w:b/>
                <w:bCs/>
                <w:i w:val="false"/>
                <w:iCs w:val="false"/>
                <w:color w:val="FFFFFF"/>
                <w:sz w:val="19"/>
                <w:szCs w:val="19"/>
              </w:rPr>
              <w:t xml:space="preserve">EXP.</w:t>
            </w:r>
          </w:p>
        </w:tc>
        <w:tc>
          <w:tcPr>
            <w:tcW w:type="dxa" w:w="8160"/>
            <w:tcBorders>
              <w:top w:val="single" w:color="1F4E79" w:sz="3"/>
              <w:left w:val="single" w:color="1F4E79" w:sz="3"/>
              <w:bottom w:val="single" w:color="1F4E79" w:sz="3"/>
              <w:right w:val="single" w:color="1F4E79" w:sz="3"/>
            </w:tcBorders>
            <w:shd w:fill="F0FFF4" w:val="clear"/>
            <w:tcMar>
              <w:top w:type="dxa" w:w="100"/>
              <w:left w:type="dxa" w:w="180"/>
              <w:bottom w:type="dxa" w:w="100"/>
              <w:right w:type="dxa" w:w="180"/>
            </w:tcMar>
          </w:tcPr>
          <w:p>
            <w:pPr>
              <w:spacing w:after="80" w:before="80"/>
              <w:jc w:val="left"/>
            </w:pPr>
            <w:r>
              <w:rPr>
                <w:rFonts w:ascii="Arial" w:cs="Arial" w:eastAsia="Arial" w:hAnsi="Arial"/>
                <w:b w:val="false"/>
                <w:bCs w:val="false"/>
                <w:i w:val="false"/>
                <w:iCs w:val="false"/>
                <w:color w:val="1A1A1A"/>
                <w:sz w:val="20"/>
                <w:szCs w:val="20"/>
              </w:rPr>
              <w:t xml:space="preserve">Company A churn = (50 ÷ 1,000) × 100 = 5%. Company B churn = (5 ÷ 200) × 100 = 2.5%. Company A has the higher CUSTOMER churn rate. Note: Company B may have higher REVENUE churn if their enterprise accounts are large — this is why both metrics matter.</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3"/>
              <w:left w:val="single" w:color="1F4E79" w:sz="3"/>
              <w:bottom w:val="single" w:color="1F4E79" w:sz="3"/>
              <w:right w:val="single" w:color="1F4E79" w:sz="3"/>
            </w:tcBorders>
            <w:shd w:fill="1A7040" w:val="clear"/>
            <w:tcMar>
              <w:top w:type="dxa" w:w="100"/>
              <w:left w:type="dxa" w:w="120"/>
              <w:bottom w:type="dxa" w:w="100"/>
              <w:right w:type="dxa" w:w="120"/>
            </w:tcMar>
            <w:vAlign w:val="center"/>
          </w:tcPr>
          <w:p>
            <w:pPr>
              <w:spacing w:after="80" w:before="80"/>
              <w:jc w:val="center"/>
            </w:pPr>
            <w:r>
              <w:rPr>
                <w:rFonts w:ascii="Arial" w:cs="Arial" w:eastAsia="Arial" w:hAnsi="Arial"/>
                <w:b/>
                <w:bCs/>
                <w:i w:val="false"/>
                <w:iCs w:val="false"/>
                <w:color w:val="FFFFFF"/>
                <w:sz w:val="20"/>
                <w:szCs w:val="20"/>
              </w:rPr>
              <w:t xml:space="preserve">Q7</w:t>
            </w:r>
          </w:p>
        </w:tc>
        <w:tc>
          <w:tcPr>
            <w:tcW w:type="dxa" w:w="8160"/>
            <w:tcBorders>
              <w:top w:val="single" w:color="1F4E79" w:sz="3"/>
              <w:left w:val="single" w:color="1F4E79" w:sz="3"/>
              <w:bottom w:val="single" w:color="1F4E79" w:sz="3"/>
              <w:right w:val="single" w:color="1F4E79" w:sz="3"/>
            </w:tcBorders>
            <w:shd w:fill="D5F5E3" w:val="clear"/>
            <w:tcMar>
              <w:top w:type="dxa" w:w="100"/>
              <w:left w:type="dxa" w:w="180"/>
              <w:bottom w:type="dxa" w:w="100"/>
              <w:right w:type="dxa" w:w="180"/>
            </w:tcMar>
          </w:tcPr>
          <w:p>
            <w:pPr>
              <w:spacing w:after="80" w:before="80"/>
              <w:jc w:val="left"/>
            </w:pPr>
            <w:r>
              <w:rPr>
                <w:rFonts w:ascii="Arial" w:cs="Arial" w:eastAsia="Arial" w:hAnsi="Arial"/>
                <w:b/>
                <w:bCs/>
                <w:i w:val="false"/>
                <w:iCs w:val="false"/>
                <w:color w:val="1A7040"/>
                <w:sz w:val="21"/>
                <w:szCs w:val="21"/>
              </w:rPr>
              <w:t xml:space="preserve">ANSWER: A — GRR = 87.5%, NRR = 87.5%</w:t>
            </w:r>
          </w:p>
        </w:tc>
      </w:tr>
      <w:tr>
        <w:tc>
          <w:tcPr>
            <w:tcW w:type="dxa" w:w="1200"/>
            <w:tcBorders>
              <w:top w:val="single" w:color="1F4E79" w:sz="3"/>
              <w:left w:val="single" w:color="1F4E79" w:sz="3"/>
              <w:bottom w:val="single" w:color="1F4E79" w:sz="3"/>
              <w:right w:val="single" w:color="1F4E79" w:sz="3"/>
            </w:tcBorders>
            <w:shd w:fill="238B45" w:val="clear"/>
            <w:tcMar>
              <w:top w:type="dxa" w:w="100"/>
              <w:left w:type="dxa" w:w="120"/>
              <w:bottom w:type="dxa" w:w="100"/>
              <w:right w:type="dxa" w:w="120"/>
            </w:tcMar>
            <w:vAlign w:val="top"/>
          </w:tcPr>
          <w:p>
            <w:pPr>
              <w:spacing w:after="80" w:before="80"/>
              <w:jc w:val="center"/>
            </w:pPr>
            <w:r>
              <w:rPr>
                <w:rFonts w:ascii="Arial" w:cs="Arial" w:eastAsia="Arial" w:hAnsi="Arial"/>
                <w:b/>
                <w:bCs/>
                <w:i w:val="false"/>
                <w:iCs w:val="false"/>
                <w:color w:val="FFFFFF"/>
                <w:sz w:val="19"/>
                <w:szCs w:val="19"/>
              </w:rPr>
              <w:t xml:space="preserve">EXP.</w:t>
            </w:r>
          </w:p>
        </w:tc>
        <w:tc>
          <w:tcPr>
            <w:tcW w:type="dxa" w:w="8160"/>
            <w:tcBorders>
              <w:top w:val="single" w:color="1F4E79" w:sz="3"/>
              <w:left w:val="single" w:color="1F4E79" w:sz="3"/>
              <w:bottom w:val="single" w:color="1F4E79" w:sz="3"/>
              <w:right w:val="single" w:color="1F4E79" w:sz="3"/>
            </w:tcBorders>
            <w:shd w:fill="F0FFF4" w:val="clear"/>
            <w:tcMar>
              <w:top w:type="dxa" w:w="100"/>
              <w:left w:type="dxa" w:w="180"/>
              <w:bottom w:type="dxa" w:w="100"/>
              <w:right w:type="dxa" w:w="180"/>
            </w:tcMar>
          </w:tcPr>
          <w:p>
            <w:pPr>
              <w:spacing w:after="80" w:before="80"/>
              <w:jc w:val="left"/>
            </w:pPr>
            <w:r>
              <w:rPr>
                <w:rFonts w:ascii="Arial" w:cs="Arial" w:eastAsia="Arial" w:hAnsi="Arial"/>
                <w:b w:val="false"/>
                <w:bCs w:val="false"/>
                <w:i w:val="false"/>
                <w:iCs w:val="false"/>
                <w:color w:val="1A1A1A"/>
                <w:sz w:val="20"/>
                <w:szCs w:val="20"/>
              </w:rPr>
              <w:t xml:space="preserve">GRR = [(80,000 - 8,000 - 2,000) ÷ 80,000] × 100 = [70,000 ÷ 80,000] × 100 = 87.5%. NRR = [(80,000 + 0 - 8,000 - 2,000) ÷ 80,000] × 100 = [70,000 ÷ 80,000] × 100 = 87.5%. Since Expansion MRR = $0, GRR and NRR are equal. This is the only scenario where GRR = NRR.</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3"/>
              <w:left w:val="single" w:color="1F4E79" w:sz="3"/>
              <w:bottom w:val="single" w:color="1F4E79" w:sz="3"/>
              <w:right w:val="single" w:color="1F4E79" w:sz="3"/>
            </w:tcBorders>
            <w:shd w:fill="1A7040" w:val="clear"/>
            <w:tcMar>
              <w:top w:type="dxa" w:w="100"/>
              <w:left w:type="dxa" w:w="120"/>
              <w:bottom w:type="dxa" w:w="100"/>
              <w:right w:type="dxa" w:w="120"/>
            </w:tcMar>
            <w:vAlign w:val="center"/>
          </w:tcPr>
          <w:p>
            <w:pPr>
              <w:spacing w:after="80" w:before="80"/>
              <w:jc w:val="center"/>
            </w:pPr>
            <w:r>
              <w:rPr>
                <w:rFonts w:ascii="Arial" w:cs="Arial" w:eastAsia="Arial" w:hAnsi="Arial"/>
                <w:b/>
                <w:bCs/>
                <w:i w:val="false"/>
                <w:iCs w:val="false"/>
                <w:color w:val="FFFFFF"/>
                <w:sz w:val="20"/>
                <w:szCs w:val="20"/>
              </w:rPr>
              <w:t xml:space="preserve">Q8</w:t>
            </w:r>
          </w:p>
        </w:tc>
        <w:tc>
          <w:tcPr>
            <w:tcW w:type="dxa" w:w="8160"/>
            <w:tcBorders>
              <w:top w:val="single" w:color="1F4E79" w:sz="3"/>
              <w:left w:val="single" w:color="1F4E79" w:sz="3"/>
              <w:bottom w:val="single" w:color="1F4E79" w:sz="3"/>
              <w:right w:val="single" w:color="1F4E79" w:sz="3"/>
            </w:tcBorders>
            <w:shd w:fill="D5F5E3" w:val="clear"/>
            <w:tcMar>
              <w:top w:type="dxa" w:w="100"/>
              <w:left w:type="dxa" w:w="180"/>
              <w:bottom w:type="dxa" w:w="100"/>
              <w:right w:type="dxa" w:w="180"/>
            </w:tcMar>
          </w:tcPr>
          <w:p>
            <w:pPr>
              <w:spacing w:after="80" w:before="80"/>
              <w:jc w:val="left"/>
            </w:pPr>
            <w:r>
              <w:rPr>
                <w:rFonts w:ascii="Arial" w:cs="Arial" w:eastAsia="Arial" w:hAnsi="Arial"/>
                <w:b/>
                <w:bCs/>
                <w:i w:val="false"/>
                <w:iCs w:val="false"/>
                <w:color w:val="1A7040"/>
                <w:sz w:val="21"/>
                <w:szCs w:val="21"/>
              </w:rPr>
              <w:t xml:space="preserve">ANSWER: B — NRR consistently above 110%</w:t>
            </w:r>
          </w:p>
        </w:tc>
      </w:tr>
      <w:tr>
        <w:tc>
          <w:tcPr>
            <w:tcW w:type="dxa" w:w="1200"/>
            <w:tcBorders>
              <w:top w:val="single" w:color="1F4E79" w:sz="3"/>
              <w:left w:val="single" w:color="1F4E79" w:sz="3"/>
              <w:bottom w:val="single" w:color="1F4E79" w:sz="3"/>
              <w:right w:val="single" w:color="1F4E79" w:sz="3"/>
            </w:tcBorders>
            <w:shd w:fill="238B45" w:val="clear"/>
            <w:tcMar>
              <w:top w:type="dxa" w:w="100"/>
              <w:left w:type="dxa" w:w="120"/>
              <w:bottom w:type="dxa" w:w="100"/>
              <w:right w:type="dxa" w:w="120"/>
            </w:tcMar>
            <w:vAlign w:val="top"/>
          </w:tcPr>
          <w:p>
            <w:pPr>
              <w:spacing w:after="80" w:before="80"/>
              <w:jc w:val="center"/>
            </w:pPr>
            <w:r>
              <w:rPr>
                <w:rFonts w:ascii="Arial" w:cs="Arial" w:eastAsia="Arial" w:hAnsi="Arial"/>
                <w:b/>
                <w:bCs/>
                <w:i w:val="false"/>
                <w:iCs w:val="false"/>
                <w:color w:val="FFFFFF"/>
                <w:sz w:val="19"/>
                <w:szCs w:val="19"/>
              </w:rPr>
              <w:t xml:space="preserve">EXP.</w:t>
            </w:r>
          </w:p>
        </w:tc>
        <w:tc>
          <w:tcPr>
            <w:tcW w:type="dxa" w:w="8160"/>
            <w:tcBorders>
              <w:top w:val="single" w:color="1F4E79" w:sz="3"/>
              <w:left w:val="single" w:color="1F4E79" w:sz="3"/>
              <w:bottom w:val="single" w:color="1F4E79" w:sz="3"/>
              <w:right w:val="single" w:color="1F4E79" w:sz="3"/>
            </w:tcBorders>
            <w:shd w:fill="F0FFF4" w:val="clear"/>
            <w:tcMar>
              <w:top w:type="dxa" w:w="100"/>
              <w:left w:type="dxa" w:w="180"/>
              <w:bottom w:type="dxa" w:w="100"/>
              <w:right w:type="dxa" w:w="180"/>
            </w:tcMar>
          </w:tcPr>
          <w:p>
            <w:pPr>
              <w:spacing w:after="80" w:before="80"/>
              <w:jc w:val="left"/>
            </w:pPr>
            <w:r>
              <w:rPr>
                <w:rFonts w:ascii="Arial" w:cs="Arial" w:eastAsia="Arial" w:hAnsi="Arial"/>
                <w:b w:val="false"/>
                <w:bCs w:val="false"/>
                <w:i w:val="false"/>
                <w:iCs w:val="false"/>
                <w:color w:val="1A1A1A"/>
                <w:sz w:val="20"/>
                <w:szCs w:val="20"/>
              </w:rPr>
              <w:t xml:space="preserve">NRR above 110% means existing customers are not only renewing but expanding significantly. This is the strongest signal of CSM effectiveness because it combines churn prevention (renewals) AND value growth (expansions). Low churn rate (A) shows retention but not growth. New logos (C) are a sales metric, not CSM. GRR above 90% (D) shows retention but excludes expansion impact.</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3"/>
              <w:left w:val="single" w:color="1F4E79" w:sz="3"/>
              <w:bottom w:val="single" w:color="1F4E79" w:sz="3"/>
              <w:right w:val="single" w:color="1F4E79" w:sz="3"/>
            </w:tcBorders>
            <w:shd w:fill="1A7040" w:val="clear"/>
            <w:tcMar>
              <w:top w:type="dxa" w:w="100"/>
              <w:left w:type="dxa" w:w="120"/>
              <w:bottom w:type="dxa" w:w="100"/>
              <w:right w:type="dxa" w:w="120"/>
            </w:tcMar>
            <w:vAlign w:val="center"/>
          </w:tcPr>
          <w:p>
            <w:pPr>
              <w:spacing w:after="80" w:before="80"/>
              <w:jc w:val="center"/>
            </w:pPr>
            <w:r>
              <w:rPr>
                <w:rFonts w:ascii="Arial" w:cs="Arial" w:eastAsia="Arial" w:hAnsi="Arial"/>
                <w:b/>
                <w:bCs/>
                <w:i w:val="false"/>
                <w:iCs w:val="false"/>
                <w:color w:val="FFFFFF"/>
                <w:sz w:val="20"/>
                <w:szCs w:val="20"/>
              </w:rPr>
              <w:t xml:space="preserve">Q9</w:t>
            </w:r>
          </w:p>
        </w:tc>
        <w:tc>
          <w:tcPr>
            <w:tcW w:type="dxa" w:w="8160"/>
            <w:tcBorders>
              <w:top w:val="single" w:color="1F4E79" w:sz="3"/>
              <w:left w:val="single" w:color="1F4E79" w:sz="3"/>
              <w:bottom w:val="single" w:color="1F4E79" w:sz="3"/>
              <w:right w:val="single" w:color="1F4E79" w:sz="3"/>
            </w:tcBorders>
            <w:shd w:fill="D5F5E3" w:val="clear"/>
            <w:tcMar>
              <w:top w:type="dxa" w:w="100"/>
              <w:left w:type="dxa" w:w="180"/>
              <w:bottom w:type="dxa" w:w="100"/>
              <w:right w:type="dxa" w:w="180"/>
            </w:tcMar>
          </w:tcPr>
          <w:p>
            <w:pPr>
              <w:spacing w:after="80" w:before="80"/>
              <w:jc w:val="left"/>
            </w:pPr>
            <w:r>
              <w:rPr>
                <w:rFonts w:ascii="Arial" w:cs="Arial" w:eastAsia="Arial" w:hAnsi="Arial"/>
                <w:b/>
                <w:bCs/>
                <w:i w:val="false"/>
                <w:iCs w:val="false"/>
                <w:color w:val="1A7040"/>
                <w:sz w:val="21"/>
                <w:szCs w:val="21"/>
              </w:rPr>
              <w:t xml:space="preserve">ANSWER: C — Churn and contraction are exceeding expansion revenue</w:t>
            </w:r>
          </w:p>
        </w:tc>
      </w:tr>
      <w:tr>
        <w:tc>
          <w:tcPr>
            <w:tcW w:type="dxa" w:w="1200"/>
            <w:tcBorders>
              <w:top w:val="single" w:color="1F4E79" w:sz="3"/>
              <w:left w:val="single" w:color="1F4E79" w:sz="3"/>
              <w:bottom w:val="single" w:color="1F4E79" w:sz="3"/>
              <w:right w:val="single" w:color="1F4E79" w:sz="3"/>
            </w:tcBorders>
            <w:shd w:fill="238B45" w:val="clear"/>
            <w:tcMar>
              <w:top w:type="dxa" w:w="100"/>
              <w:left w:type="dxa" w:w="120"/>
              <w:bottom w:type="dxa" w:w="100"/>
              <w:right w:type="dxa" w:w="120"/>
            </w:tcMar>
            <w:vAlign w:val="top"/>
          </w:tcPr>
          <w:p>
            <w:pPr>
              <w:spacing w:after="80" w:before="80"/>
              <w:jc w:val="center"/>
            </w:pPr>
            <w:r>
              <w:rPr>
                <w:rFonts w:ascii="Arial" w:cs="Arial" w:eastAsia="Arial" w:hAnsi="Arial"/>
                <w:b/>
                <w:bCs/>
                <w:i w:val="false"/>
                <w:iCs w:val="false"/>
                <w:color w:val="FFFFFF"/>
                <w:sz w:val="19"/>
                <w:szCs w:val="19"/>
              </w:rPr>
              <w:t xml:space="preserve">EXP.</w:t>
            </w:r>
          </w:p>
        </w:tc>
        <w:tc>
          <w:tcPr>
            <w:tcW w:type="dxa" w:w="8160"/>
            <w:tcBorders>
              <w:top w:val="single" w:color="1F4E79" w:sz="3"/>
              <w:left w:val="single" w:color="1F4E79" w:sz="3"/>
              <w:bottom w:val="single" w:color="1F4E79" w:sz="3"/>
              <w:right w:val="single" w:color="1F4E79" w:sz="3"/>
            </w:tcBorders>
            <w:shd w:fill="F0FFF4" w:val="clear"/>
            <w:tcMar>
              <w:top w:type="dxa" w:w="100"/>
              <w:left w:type="dxa" w:w="180"/>
              <w:bottom w:type="dxa" w:w="100"/>
              <w:right w:type="dxa" w:w="180"/>
            </w:tcMar>
          </w:tcPr>
          <w:p>
            <w:pPr>
              <w:spacing w:after="80" w:before="80"/>
              <w:jc w:val="left"/>
            </w:pPr>
            <w:r>
              <w:rPr>
                <w:rFonts w:ascii="Arial" w:cs="Arial" w:eastAsia="Arial" w:hAnsi="Arial"/>
                <w:b w:val="false"/>
                <w:bCs w:val="false"/>
                <w:i w:val="false"/>
                <w:iCs w:val="false"/>
                <w:color w:val="1A1A1A"/>
                <w:sz w:val="20"/>
                <w:szCs w:val="20"/>
              </w:rPr>
              <w:t xml:space="preserve">NRR of 92% means the company retained only 92 cents for every $1 of existing revenue — losing 8% net from existing customers. This means churn + contraction &gt; expansion. Options A and B describe growth scenarios (would show NRR &gt; 100%). Option D is incorrect because high GRR with low expansion would still show NRR close to GRR, not 92%.</w:t>
            </w:r>
          </w:p>
        </w:tc>
      </w:tr>
    </w:tbl>
    <w:p>
      <w:pPr>
        <w:spacing w:after="0" w:before="8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3"/>
              <w:left w:val="single" w:color="1F4E79" w:sz="3"/>
              <w:bottom w:val="single" w:color="1F4E79" w:sz="3"/>
              <w:right w:val="single" w:color="1F4E79" w:sz="3"/>
            </w:tcBorders>
            <w:shd w:fill="1A7040" w:val="clear"/>
            <w:tcMar>
              <w:top w:type="dxa" w:w="100"/>
              <w:left w:type="dxa" w:w="120"/>
              <w:bottom w:type="dxa" w:w="100"/>
              <w:right w:type="dxa" w:w="120"/>
            </w:tcMar>
            <w:vAlign w:val="center"/>
          </w:tcPr>
          <w:p>
            <w:pPr>
              <w:spacing w:after="80" w:before="80"/>
              <w:jc w:val="center"/>
            </w:pPr>
            <w:r>
              <w:rPr>
                <w:rFonts w:ascii="Arial" w:cs="Arial" w:eastAsia="Arial" w:hAnsi="Arial"/>
                <w:b/>
                <w:bCs/>
                <w:i w:val="false"/>
                <w:iCs w:val="false"/>
                <w:color w:val="FFFFFF"/>
                <w:sz w:val="20"/>
                <w:szCs w:val="20"/>
              </w:rPr>
              <w:t xml:space="preserve">Q10</w:t>
            </w:r>
          </w:p>
        </w:tc>
        <w:tc>
          <w:tcPr>
            <w:tcW w:type="dxa" w:w="8160"/>
            <w:tcBorders>
              <w:top w:val="single" w:color="1F4E79" w:sz="3"/>
              <w:left w:val="single" w:color="1F4E79" w:sz="3"/>
              <w:bottom w:val="single" w:color="1F4E79" w:sz="3"/>
              <w:right w:val="single" w:color="1F4E79" w:sz="3"/>
            </w:tcBorders>
            <w:shd w:fill="D5F5E3" w:val="clear"/>
            <w:tcMar>
              <w:top w:type="dxa" w:w="100"/>
              <w:left w:type="dxa" w:w="180"/>
              <w:bottom w:type="dxa" w:w="100"/>
              <w:right w:type="dxa" w:w="180"/>
            </w:tcMar>
          </w:tcPr>
          <w:p>
            <w:pPr>
              <w:spacing w:after="80" w:before="80"/>
              <w:jc w:val="left"/>
            </w:pPr>
            <w:r>
              <w:rPr>
                <w:rFonts w:ascii="Arial" w:cs="Arial" w:eastAsia="Arial" w:hAnsi="Arial"/>
                <w:b/>
                <w:bCs/>
                <w:i w:val="false"/>
                <w:iCs w:val="false"/>
                <w:color w:val="1A7040"/>
                <w:sz w:val="21"/>
                <w:szCs w:val="21"/>
              </w:rPr>
              <w:t xml:space="preserve">ANSWER: B — ARR reflects the recurring, renewable revenue at risk</w:t>
            </w:r>
          </w:p>
        </w:tc>
      </w:tr>
      <w:tr>
        <w:tc>
          <w:tcPr>
            <w:tcW w:type="dxa" w:w="1200"/>
            <w:tcBorders>
              <w:top w:val="single" w:color="1F4E79" w:sz="3"/>
              <w:left w:val="single" w:color="1F4E79" w:sz="3"/>
              <w:bottom w:val="single" w:color="1F4E79" w:sz="3"/>
              <w:right w:val="single" w:color="1F4E79" w:sz="3"/>
            </w:tcBorders>
            <w:shd w:fill="238B45" w:val="clear"/>
            <w:tcMar>
              <w:top w:type="dxa" w:w="100"/>
              <w:left w:type="dxa" w:w="120"/>
              <w:bottom w:type="dxa" w:w="100"/>
              <w:right w:type="dxa" w:w="120"/>
            </w:tcMar>
            <w:vAlign w:val="top"/>
          </w:tcPr>
          <w:p>
            <w:pPr>
              <w:spacing w:after="80" w:before="80"/>
              <w:jc w:val="center"/>
            </w:pPr>
            <w:r>
              <w:rPr>
                <w:rFonts w:ascii="Arial" w:cs="Arial" w:eastAsia="Arial" w:hAnsi="Arial"/>
                <w:b/>
                <w:bCs/>
                <w:i w:val="false"/>
                <w:iCs w:val="false"/>
                <w:color w:val="FFFFFF"/>
                <w:sz w:val="19"/>
                <w:szCs w:val="19"/>
              </w:rPr>
              <w:t xml:space="preserve">EXP.</w:t>
            </w:r>
          </w:p>
        </w:tc>
        <w:tc>
          <w:tcPr>
            <w:tcW w:type="dxa" w:w="8160"/>
            <w:tcBorders>
              <w:top w:val="single" w:color="1F4E79" w:sz="3"/>
              <w:left w:val="single" w:color="1F4E79" w:sz="3"/>
              <w:bottom w:val="single" w:color="1F4E79" w:sz="3"/>
              <w:right w:val="single" w:color="1F4E79" w:sz="3"/>
            </w:tcBorders>
            <w:shd w:fill="F0FFF4" w:val="clear"/>
            <w:tcMar>
              <w:top w:type="dxa" w:w="100"/>
              <w:left w:type="dxa" w:w="180"/>
              <w:bottom w:type="dxa" w:w="100"/>
              <w:right w:type="dxa" w:w="180"/>
            </w:tcMar>
          </w:tcPr>
          <w:p>
            <w:pPr>
              <w:spacing w:after="80" w:before="80"/>
              <w:jc w:val="left"/>
            </w:pPr>
            <w:r>
              <w:rPr>
                <w:rFonts w:ascii="Arial" w:cs="Arial" w:eastAsia="Arial" w:hAnsi="Arial"/>
                <w:b w:val="false"/>
                <w:bCs w:val="false"/>
                <w:i w:val="false"/>
                <w:iCs w:val="false"/>
                <w:color w:val="1A1A1A"/>
                <w:sz w:val="20"/>
                <w:szCs w:val="20"/>
              </w:rPr>
              <w:t xml:space="preserve">ARR is the annual recurring revenue that must be renewed each year — it represents what is at stake in every renewal conversation. CSMs track ARR because that is the revenue they are responsible for protecting and growing. TCV includes one-time fees that are already realized and not subject to renewal risk. TCV is important for sales, but ARR drives CS conversations.</w:t>
            </w:r>
          </w:p>
        </w:tc>
      </w:tr>
    </w:tbl>
    <w:p>
      <w:pPr>
        <w:spacing w:after="0" w:before="80"/>
        <w:jc w:val="left"/>
      </w:pPr>
      <w:r>
        <w:rPr>
          <w:rFonts w:ascii="Arial" w:cs="Arial" w:eastAsia="Arial" w:hAnsi="Arial"/>
          <w:b w:val="false"/>
          <w:bCs w:val="false"/>
          <w:i w:val="false"/>
          <w:iCs w:val="false"/>
          <w:color w:val="2D2D2D"/>
          <w:sz w:val="22"/>
          <w:szCs w:val="22"/>
        </w:rPr>
        <w:t xml:space="preserve"/>
      </w:r>
    </w:p>
    <w:p>
      <w:pPr>
        <w:spacing w:after="0" w:before="120"/>
        <w:jc w:val="left"/>
      </w:pPr>
      <w:r>
        <w:rPr>
          <w:rFonts w:ascii="Arial" w:cs="Arial" w:eastAsia="Arial" w:hAnsi="Arial"/>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single" w:color="1F4E79" w:sz="3"/>
              <w:bottom w:val="single" w:color="1F4E79" w:sz="3"/>
              <w:right w:val="single" w:color="1F4E79" w:sz="3"/>
            </w:tcBorders>
            <w:shd w:fill="1F4E79" w:val="clear"/>
            <w:tcMar>
              <w:top w:type="dxa" w:w="160"/>
              <w:left w:type="dxa" w:w="200"/>
              <w:bottom w:type="dxa" w:w="160"/>
              <w:right w:type="dxa" w:w="200"/>
            </w:tcMar>
          </w:tcPr>
          <w:p>
            <w:pPr>
              <w:spacing w:after="60" w:before="0"/>
              <w:jc w:val="center"/>
            </w:pPr>
            <w:r>
              <w:rPr>
                <w:rFonts w:ascii="Arial" w:cs="Arial" w:eastAsia="Arial" w:hAnsi="Arial"/>
                <w:b/>
                <w:bCs/>
                <w:i w:val="false"/>
                <w:iCs w:val="false"/>
                <w:color w:val="FFFFFF"/>
                <w:sz w:val="30"/>
                <w:szCs w:val="30"/>
              </w:rPr>
              <w:t xml:space="preserve">Day 1 Complete — Great Work!</w:t>
            </w:r>
          </w:p>
          <w:p>
            <w:pPr>
              <w:spacing w:after="0" w:before="0"/>
              <w:jc w:val="center"/>
            </w:pPr>
            <w:r>
              <w:rPr>
                <w:rFonts w:ascii="Arial" w:cs="Arial" w:eastAsia="Arial" w:hAnsi="Arial"/>
                <w:b w:val="false"/>
                <w:bCs w:val="false"/>
                <w:i w:val="false"/>
                <w:iCs w:val="false"/>
                <w:color w:val="AED6F1"/>
                <w:sz w:val="20"/>
                <w:szCs w:val="20"/>
              </w:rPr>
              <w:t xml:space="preserve">Tomorrow: Customer Lifecycle Introduction  |  Onboarding &amp; Time-to-Value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after="0" w:before="80"/>
      <w:jc w:val="center"/>
    </w:pPr>
    <w:r>
      <w:rPr>
        <w:rFonts w:ascii="Arial" w:cs="Arial" w:eastAsia="Arial" w:hAnsi="Arial"/>
        <w:b w:val="false"/>
        <w:bCs w:val="false"/>
        <w:i w:val="false"/>
        <w:iCs w:val="false"/>
        <w:color w:val="999999"/>
        <w:sz w:val="17"/>
        <w:szCs w:val="17"/>
      </w:rPr>
      <w:t xml:space="preserve">Cisco 820-605 CSM Exam Prep  |  Confidential Study Notes  |  June 1,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after="80" w:before="0"/>
      <w:jc w:val="left"/>
    </w:pPr>
    <w:r>
      <w:rPr>
        <w:rFonts w:ascii="Arial" w:cs="Arial" w:eastAsia="Arial" w:hAnsi="Arial"/>
        <w:b/>
        <w:bCs/>
        <w:i w:val="false"/>
        <w:iCs w:val="false"/>
        <w:color w:val="1F4E79"/>
        <w:sz w:val="18"/>
        <w:szCs w:val="18"/>
      </w:rPr>
      <w:t xml:space="preserve">820-605 CSM Exam Prep  |  Day 1 Study Material  |  </w:t>
    </w:r>
    <w:r>
      <w:rPr>
        <w:rFonts w:ascii="Arial" w:cs="Arial" w:eastAsia="Arial" w:hAnsi="Arial"/>
        <w:b w:val="false"/>
        <w:bCs w:val="false"/>
        <w:i w:val="false"/>
        <w:iCs w:val="false"/>
        <w:color w:val="2E75B6"/>
        <w:sz w:val="18"/>
        <w:szCs w:val="18"/>
      </w:rPr>
      <w:t xml:space="preserve">Subscription Model Deep Dive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2E75B6"/>
      <w:sz w:val="27"/>
      <w:szCs w:val="27"/>
    </w:rPr>
  </w:style>
  <w:style w:type="paragraph" w:styleId="Heading3">
    <w:name w:val="Heading 3"/>
    <w:basedOn w:val="Normal"/>
    <w:next w:val="Normal"/>
    <w:qFormat/>
    <w:pPr>
      <w:spacing w:after="80" w:before="200"/>
      <w:outlineLvl w:val="2"/>
    </w:pPr>
    <w:rPr>
      <w:rFonts w:ascii="Arial" w:cs="Arial" w:eastAsia="Arial" w:hAnsi="Arial"/>
      <w:b/>
      <w:bCs/>
      <w:color w:val="1A527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2026-06-01T10:48:11.020Z</dcterms:created>
  <dcterms:modified xsi:type="dcterms:W3CDTF">2026-06-01T10:48:11.032Z</dcterms:modified>
</cp:coreProperties>
</file>

<file path=docProps/custom.xml><?xml version="1.0" encoding="utf-8"?>
<Properties xmlns="http://schemas.openxmlformats.org/officeDocument/2006/custom-properties" xmlns:vt="http://schemas.openxmlformats.org/officeDocument/2006/docPropsVTypes"/>
</file>