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977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4" w:type="dxa"/>
          <w:bottom w:w="0" w:type="dxa"/>
          <w:right w:w="54" w:type="dxa"/>
        </w:tblCellMar>
        <w:tblLook w:noVBand="1" w:val="04a0" w:noHBand="0" w:lastColumn="0" w:firstColumn="1" w:lastRow="0" w:firstRow="1"/>
      </w:tblPr>
      <w:tblGrid>
        <w:gridCol w:w="3178"/>
        <w:gridCol w:w="5798"/>
      </w:tblGrid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3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Nome do Caso de Uso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Consultar Saldo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3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Resumo (Objetivo)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Consultar o saldo do usuário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3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Atores Primários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3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Atores Secundários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3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Pré-condições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Ter executado o caso de uso Debitar Crédito Usuário.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34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Fluxo Principal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P1. O sistema recebe o número da matrícula do usuário.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P2. O sistema verifica o saldo do usuário.</w:t>
            </w:r>
          </w:p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P3. O sistema retorna o saldo do usuário.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34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Fluxo Alternativo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FA1. No P2, caso a matrícula não seja localizada: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a) Retorna a mensagem “Matrícula não encontrada!” para o caso de uso “Debitar Crédito Usuário”.</w:t>
            </w:r>
          </w:p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FA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2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. </w:t>
            </w:r>
            <w:r>
              <w:rPr>
                <w:rFonts w:eastAsia="Calibri" w:cs="Calibri" w:ascii="Calibri" w:hAnsi="Calibri"/>
                <w:color w:val="00000A"/>
                <w:sz w:val="22"/>
                <w:u w:val="none"/>
                <w:shd w:fill="FFFFFF" w:val="clear"/>
              </w:rPr>
              <w:t>N</w:t>
            </w:r>
            <w:bookmarkStart w:id="0" w:name="_GoBack"/>
            <w:bookmarkEnd w:id="0"/>
            <w:r>
              <w:rPr>
                <w:rFonts w:eastAsia="Calibri" w:cs="Calibri" w:ascii="Calibri" w:hAnsi="Calibri"/>
                <w:color w:val="00000A"/>
                <w:sz w:val="22"/>
                <w:u w:val="none"/>
                <w:shd w:fill="FFFFFF" w:val="clear"/>
              </w:rPr>
              <w:t>o</w:t>
            </w: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 xml:space="preserve"> P3, caso a rede não esteja disponível:</w:t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a) O sistema não enviará mensagem alguma para o caso de uso “Debitar Crédito Usuário”.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3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Pós-condições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Sistema retorna saldo usuário.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3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Regras de Negócio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rPr/>
            </w:pPr>
            <w:r>
              <w:rPr/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3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Requisitos Não Funcionais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3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Autor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Calvin Mendes Cattaneo, Marcelo da Silva Lima</w:t>
            </w:r>
          </w:p>
        </w:tc>
      </w:tr>
      <w:tr>
        <w:trPr>
          <w:trHeight w:val="295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3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Data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31/03/2016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3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color w:val="00000A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A"/>
                <w:shd w:fill="FFFFFF" w:val="clear"/>
              </w:rPr>
              <w:t>Regras de Validação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color w:val="00000A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34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b/>
                <w:b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b/>
                <w:color w:val="00000A"/>
                <w:shd w:fill="FFFFFF" w:val="clear"/>
              </w:rPr>
              <w:t>Entidades Participantes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34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b/>
                <w:b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b/>
                <w:color w:val="00000A"/>
                <w:shd w:fill="FFFFFF" w:val="clear"/>
              </w:rPr>
              <w:t>Observações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34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color w:val="00000A"/>
                <w:shd w:fill="FFFFFF" w:val="clear"/>
              </w:rPr>
            </w:pPr>
            <w:r>
              <w:rPr>
                <w:rFonts w:eastAsia="Calibri" w:cs="Calibri" w:ascii="Calibri" w:hAnsi="Calibri"/>
                <w:color w:val="00000A"/>
                <w:shd w:fill="FFFFFF" w:val="clear"/>
              </w:rPr>
              <w:t>-</w:t>
            </w:r>
          </w:p>
        </w:tc>
      </w:tr>
    </w:tbl>
    <w:p>
      <w:pPr>
        <w:pStyle w:val="Normal"/>
        <w:suppressAutoHyphens w:val="true"/>
        <w:spacing w:lineRule="exact" w:line="240"/>
        <w:rPr>
          <w:rFonts w:ascii="Times New Roman" w:hAnsi="Times New Roman" w:eastAsia="Times New Roman" w:cs="Times New Roman"/>
          <w:color w:val="00000A"/>
          <w:shd w:fill="FFFFFF" w:val="clear"/>
        </w:rPr>
      </w:pPr>
      <w:r>
        <w:rPr>
          <w:rFonts w:eastAsia="Times New Roman" w:cs="Times New Roman" w:ascii="Times New Roman" w:hAnsi="Times New Roman"/>
          <w:color w:val="00000A"/>
          <w:shd w:fill="FFFFFF" w:val="clear"/>
        </w:rPr>
      </w:r>
    </w:p>
    <w:p>
      <w:pPr>
        <w:pStyle w:val="Normal"/>
        <w:suppressAutoHyphens w:val="true"/>
        <w:spacing w:lineRule="exact" w:line="24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/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ítulo do documento"/>
    <w:basedOn w:val="Normal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LibreOffice/4.4.3.2$Windows_x86 LibreOffice_project/88805f81e9fe61362df02b9941de8e38a9b5fd16</Application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2016-04-02T13:08:00Z</dcterms:created>
  <dc:language>pt-BR</dc:language>
  <dcterms:modified xsi:type="dcterms:W3CDTF">2016-04-04T13:10:52Z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