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600"/>
        <w:jc w:val="center"/>
      </w:pPr>
      <w:r>
        <w:rPr>
          <w:b/>
          <w:bCs/>
          <w:color w:val="000000"/>
          <w:sz w:val="34"/>
          <w:szCs w:val="34"/>
        </w:rPr>
        <w:t xml:space="preserve">DUOC UC</w:t>
      </w:r>
    </w:p>
    <w:p>
      <w:pPr>
        <w:spacing w:after="90"/>
        <w:jc w:val="center"/>
      </w:pPr>
      <w:r>
        <w:rPr>
          <w:color w:val="595959"/>
          <w:sz w:val="24"/>
          <w:szCs w:val="24"/>
        </w:rPr>
        <w:t xml:space="preserve">Escuela de Informática y Telecomunicaciones</w:t>
      </w:r>
    </w:p>
    <w:p>
      <w:pPr>
        <w:spacing w:after="100"/>
        <w:jc w:val="center"/>
      </w:pPr>
      <w:r>
        <w:rPr>
          <w:color w:val="595959"/>
          <w:sz w:val="24"/>
          <w:szCs w:val="24"/>
        </w:rPr>
        <w:t xml:space="preserve">Ingeniería en Informática</w:t>
      </w:r>
    </w:p>
    <w:p>
      <w:pPr>
        <w:spacing w:after="900"/>
        <w:jc w:val="center"/>
      </w:pPr>
      <w:r>
        <w:rPr>
          <w:color w:val="595959"/>
          <w:sz w:val="24"/>
          <w:szCs w:val="24"/>
        </w:rPr>
        <w:t xml:space="preserve">Sede San Joaquín</w:t>
      </w:r>
    </w:p>
    <w:p>
      <w:pPr>
        <w:spacing w:after="140"/>
        <w:jc w:val="center"/>
      </w:pPr>
      <w:r>
        <w:rPr>
          <w:b/>
          <w:bCs/>
          <w:color w:val="1F3864"/>
          <w:sz w:val="26"/>
          <w:szCs w:val="26"/>
        </w:rPr>
        <w:t xml:space="preserve">Informe técnico — Definición de Proyecto APT</w:t>
      </w:r>
    </w:p>
    <w:p>
      <w:pPr>
        <w:spacing w:after="120"/>
        <w:jc w:val="center"/>
      </w:pPr>
      <w:r>
        <w:rPr>
          <w:b/>
          <w:bCs/>
          <w:color w:val="000000"/>
          <w:sz w:val="40"/>
          <w:szCs w:val="40"/>
        </w:rPr>
        <w:t xml:space="preserve">Sistema de Punto de Venta e Inventario</w:t>
      </w:r>
    </w:p>
    <w:p>
      <w:pPr>
        <w:spacing w:after="900"/>
        <w:jc w:val="center"/>
      </w:pPr>
      <w:r>
        <w:rPr>
          <w:color w:val="444444"/>
          <w:sz w:val="30"/>
          <w:szCs w:val="30"/>
        </w:rPr>
        <w:t xml:space="preserve">Emporio NaturalSur</w:t>
      </w:r>
    </w:p>
    <w:p>
      <w:pPr>
        <w:spacing w:after="100"/>
        <w:jc w:val="center"/>
      </w:pPr>
      <w:r>
        <w:rPr>
          <w:color w:val="000000"/>
          <w:sz w:val="22"/>
          <w:szCs w:val="22"/>
        </w:rPr>
        <w:t xml:space="preserve">Asignatura: Capstone — PTY4614 · Sección 005D</w:t>
      </w:r>
    </w:p>
    <w:p>
      <w:pPr>
        <w:spacing w:after="100"/>
        <w:jc w:val="center"/>
      </w:pPr>
      <w:r>
        <w:rPr>
          <w:color w:val="000000"/>
          <w:sz w:val="22"/>
          <w:szCs w:val="22"/>
        </w:rPr>
        <w:t xml:space="preserve">Segundo semestre 2026 — Fase 1</w:t>
      </w:r>
    </w:p>
    <w:p>
      <w:pPr>
        <w:spacing w:after="400"/>
        <w:jc w:val="center"/>
      </w:pPr>
      <w:r>
        <w:rPr>
          <w:color w:val="000000"/>
          <w:sz w:val="22"/>
          <w:szCs w:val="22"/>
        </w:rPr>
        <w:t xml:space="preserve">Docente guía: Karla Marilyn Roco</w:t>
      </w:r>
    </w:p>
    <w:p>
      <w:pPr>
        <w:spacing w:after="90"/>
        <w:jc w:val="center"/>
      </w:pPr>
      <w:r>
        <w:rPr>
          <w:b/>
          <w:bCs/>
          <w:color w:val="000000"/>
          <w:sz w:val="22"/>
          <w:szCs w:val="22"/>
        </w:rPr>
        <w:t xml:space="preserve">Integrantes</w:t>
      </w:r>
    </w:p>
    <w:p>
      <w:pPr>
        <w:spacing w:after="60"/>
        <w:jc w:val="center"/>
      </w:pPr>
      <w:r>
        <w:rPr>
          <w:color w:val="000000"/>
          <w:sz w:val="22"/>
          <w:szCs w:val="22"/>
        </w:rPr>
        <w:t xml:space="preserve">Eduardo Andrés Guzmán Manquehual</w:t>
      </w:r>
    </w:p>
    <w:p>
      <w:pPr>
        <w:spacing w:after="60"/>
        <w:jc w:val="center"/>
      </w:pPr>
      <w:r>
        <w:rPr>
          <w:color w:val="000000"/>
          <w:sz w:val="22"/>
          <w:szCs w:val="22"/>
        </w:rPr>
        <w:t xml:space="preserve">Victoria Roa Seitz</w:t>
      </w:r>
    </w:p>
    <w:p>
      <w:pPr>
        <w:spacing w:after="500"/>
        <w:jc w:val="center"/>
      </w:pPr>
      <w:r>
        <w:rPr>
          <w:color w:val="000000"/>
          <w:sz w:val="22"/>
          <w:szCs w:val="22"/>
        </w:rPr>
        <w:t xml:space="preserve">Fernando Antonio Silva Trincado</w:t>
      </w:r>
    </w:p>
    <w:p>
      <w:pPr>
        <w:jc w:val="center"/>
      </w:pPr>
      <w:r>
        <w:rPr>
          <w:color w:val="595959"/>
          <w:sz w:val="21"/>
          <w:szCs w:val="21"/>
        </w:rPr>
        <w:t xml:space="preserve">Santiago de Chile · Agosto de 2026</w:t>
      </w:r>
    </w:p>
    <w:p>
      <w:r>
        <w:br w:type="page"/>
      </w:r>
    </w:p>
    <w:p>
      <w:pPr>
        <w:pStyle w:val="Heading1"/>
        <w:spacing w:after="180" w:before="400"/>
      </w:pPr>
      <w:r>
        <w:rPr>
          <w:b/>
          <w:bCs/>
          <w:color w:val="1F3864"/>
          <w:sz w:val="28"/>
          <w:szCs w:val="28"/>
        </w:rPr>
        <w:t xml:space="preserve">Índice</w:t>
      </w:r>
    </w:p>
    <w:p>
      <w:pPr>
        <w:spacing w:after="80"/>
      </w:pPr>
      <w:r>
        <w:rPr>
          <w:color w:val="000000"/>
          <w:sz w:val="22"/>
          <w:szCs w:val="22"/>
        </w:rPr>
        <w:t xml:space="preserve">Resumen</w:t>
      </w:r>
    </w:p>
    <w:p>
      <w:pPr>
        <w:spacing w:after="80"/>
      </w:pPr>
      <w:r>
        <w:rPr>
          <w:color w:val="000000"/>
          <w:sz w:val="22"/>
          <w:szCs w:val="22"/>
        </w:rPr>
        <w:t xml:space="preserve">Abstract</w:t>
      </w:r>
    </w:p>
    <w:p>
      <w:pPr>
        <w:spacing w:after="80"/>
      </w:pPr>
      <w:r>
        <w:rPr>
          <w:color w:val="000000"/>
          <w:sz w:val="22"/>
          <w:szCs w:val="22"/>
        </w:rPr>
        <w:t xml:space="preserve">1. Introducción</w:t>
      </w:r>
    </w:p>
    <w:p>
      <w:pPr>
        <w:spacing w:after="80"/>
      </w:pPr>
      <w:r>
        <w:rPr>
          <w:color w:val="000000"/>
          <w:sz w:val="22"/>
          <w:szCs w:val="22"/>
        </w:rPr>
        <w:t xml:space="preserve">2. Descripción del proyecto y su relevancia</w:t>
      </w:r>
    </w:p>
    <w:p>
      <w:pPr>
        <w:spacing w:after="80"/>
      </w:pPr>
      <w:r>
        <w:rPr>
          <w:color w:val="000000"/>
          <w:sz w:val="22"/>
          <w:szCs w:val="22"/>
        </w:rPr>
        <w:t xml:space="preserve">3. Relación con el perfil de egreso</w:t>
      </w:r>
    </w:p>
    <w:p>
      <w:pPr>
        <w:spacing w:after="80"/>
      </w:pPr>
      <w:r>
        <w:rPr>
          <w:color w:val="000000"/>
          <w:sz w:val="22"/>
          <w:szCs w:val="22"/>
        </w:rPr>
        <w:t xml:space="preserve">4. Relación con los intereses profesionales</w:t>
      </w:r>
    </w:p>
    <w:p>
      <w:pPr>
        <w:spacing w:after="80"/>
      </w:pPr>
      <w:r>
        <w:rPr>
          <w:color w:val="000000"/>
          <w:sz w:val="22"/>
          <w:szCs w:val="22"/>
        </w:rPr>
        <w:t xml:space="preserve">5. Diagnóstico de la situación actual</w:t>
      </w:r>
    </w:p>
    <w:p>
      <w:pPr>
        <w:spacing w:after="80"/>
      </w:pPr>
      <w:r>
        <w:rPr>
          <w:color w:val="000000"/>
          <w:sz w:val="22"/>
          <w:szCs w:val="22"/>
        </w:rPr>
        <w:t xml:space="preserve">6. Objetivos</w:t>
      </w:r>
    </w:p>
    <w:p>
      <w:pPr>
        <w:spacing w:after="80"/>
      </w:pPr>
      <w:r>
        <w:rPr>
          <w:color w:val="000000"/>
          <w:sz w:val="22"/>
          <w:szCs w:val="22"/>
        </w:rPr>
        <w:t xml:space="preserve">7. Alcance del proyecto</w:t>
      </w:r>
    </w:p>
    <w:p>
      <w:pPr>
        <w:spacing w:after="80"/>
      </w:pPr>
      <w:r>
        <w:rPr>
          <w:color w:val="000000"/>
          <w:sz w:val="22"/>
          <w:szCs w:val="22"/>
        </w:rPr>
        <w:t xml:space="preserve">8. Factibilidad</w:t>
      </w:r>
    </w:p>
    <w:p>
      <w:pPr>
        <w:spacing w:after="80"/>
      </w:pPr>
      <w:r>
        <w:rPr>
          <w:color w:val="000000"/>
          <w:sz w:val="22"/>
          <w:szCs w:val="22"/>
        </w:rPr>
        <w:t xml:space="preserve">9. Metodología de trabajo</w:t>
      </w:r>
    </w:p>
    <w:p>
      <w:pPr>
        <w:spacing w:after="80"/>
      </w:pPr>
      <w:r>
        <w:rPr>
          <w:color w:val="000000"/>
          <w:sz w:val="22"/>
          <w:szCs w:val="22"/>
        </w:rPr>
        <w:t xml:space="preserve">10. Arquitectura y decisiones técnicas</w:t>
      </w:r>
    </w:p>
    <w:p>
      <w:pPr>
        <w:spacing w:after="80"/>
      </w:pPr>
      <w:r>
        <w:rPr>
          <w:color w:val="000000"/>
          <w:sz w:val="22"/>
          <w:szCs w:val="22"/>
        </w:rPr>
        <w:t xml:space="preserve">11. Plan de trabajo</w:t>
      </w:r>
    </w:p>
    <w:p>
      <w:pPr>
        <w:spacing w:after="80"/>
      </w:pPr>
      <w:r>
        <w:rPr>
          <w:color w:val="000000"/>
          <w:sz w:val="22"/>
          <w:szCs w:val="22"/>
        </w:rPr>
        <w:t xml:space="preserve">12. Carta Gantt</w:t>
      </w:r>
    </w:p>
    <w:p>
      <w:pPr>
        <w:spacing w:after="80"/>
      </w:pPr>
      <w:r>
        <w:rPr>
          <w:color w:val="000000"/>
          <w:sz w:val="22"/>
          <w:szCs w:val="22"/>
        </w:rPr>
        <w:t xml:space="preserve">13. Evidencias</w:t>
      </w:r>
    </w:p>
    <w:p>
      <w:pPr>
        <w:spacing w:after="80"/>
      </w:pPr>
      <w:r>
        <w:rPr>
          <w:color w:val="000000"/>
          <w:sz w:val="22"/>
          <w:szCs w:val="22"/>
        </w:rPr>
        <w:t xml:space="preserve">14. Cumplimiento de los indicadores de calidad disciplinarios</w:t>
      </w:r>
    </w:p>
    <w:p>
      <w:pPr>
        <w:spacing w:after="80"/>
      </w:pPr>
      <w:r>
        <w:rPr>
          <w:color w:val="000000"/>
          <w:sz w:val="22"/>
          <w:szCs w:val="22"/>
        </w:rPr>
        <w:t xml:space="preserve">15. Conclusiones individuales</w:t>
      </w:r>
    </w:p>
    <w:p>
      <w:pPr>
        <w:spacing w:after="80"/>
      </w:pPr>
      <w:r>
        <w:rPr>
          <w:color w:val="000000"/>
          <w:sz w:val="22"/>
          <w:szCs w:val="22"/>
        </w:rPr>
        <w:t xml:space="preserve">16. Reflexiones individuales</w:t>
      </w:r>
    </w:p>
    <w:p>
      <w:pPr>
        <w:spacing w:after="80"/>
      </w:pPr>
      <w:r>
        <w:rPr>
          <w:color w:val="000000"/>
          <w:sz w:val="22"/>
          <w:szCs w:val="22"/>
        </w:rPr>
        <w:t xml:space="preserve">Bibliografía</w:t>
      </w:r>
    </w:p>
    <w:p>
      <w:pPr>
        <w:spacing w:after="80"/>
      </w:pPr>
      <w:r>
        <w:rPr>
          <w:color w:val="000000"/>
          <w:sz w:val="22"/>
          <w:szCs w:val="22"/>
        </w:rPr>
        <w:t xml:space="preserve">Anexos</w:t>
      </w:r>
    </w:p>
    <w:p>
      <w:pPr>
        <w:spacing w:after="130" w:line="300"/>
        <w:jc w:val="both"/>
      </w:pPr>
      <w:r>
        <w:rPr>
          <w:i/>
          <w:iCs/>
          <w:color w:val="595959"/>
          <w:sz w:val="20"/>
          <w:szCs w:val="20"/>
        </w:rPr>
        <w:t xml:space="preserve">El índice debe regenerarse automáticamente en Word una vez cerrado el documento, con los números de página correspondientes.</w:t>
      </w:r>
    </w:p>
    <w:p>
      <w:r>
        <w:br w:type="page"/>
      </w:r>
    </w:p>
    <w:p>
      <w:pPr>
        <w:pStyle w:val="Heading1"/>
        <w:spacing w:after="180" w:before="400"/>
      </w:pPr>
      <w:r>
        <w:rPr>
          <w:b/>
          <w:bCs/>
          <w:color w:val="1F3864"/>
          <w:sz w:val="28"/>
          <w:szCs w:val="28"/>
        </w:rPr>
        <w:t xml:space="preserve">Resumen</w:t>
      </w:r>
    </w:p>
    <w:p>
      <w:pPr>
        <w:spacing w:after="130" w:line="300"/>
        <w:jc w:val="both"/>
      </w:pPr>
      <w:r>
        <w:rPr>
          <w:color w:val="000000"/>
          <w:sz w:val="22"/>
          <w:szCs w:val="22"/>
        </w:rPr>
        <w:t xml:space="preserve">El presente proyecto consiste en el desarrollo e implantación de una aplicación de escritorio de punto de venta e inventario para Emporio NaturalSur, un comercio de productos naturales, orgánicos y gourmet ubicado en la comuna de Providencia, Santiago. La organización opera con un software heredado de la administración anterior: Abarrotes Punto de Venta 2.12, desarrollado en México el año 2010, sin actualizaciones desde entonces, cuyo motor Firebird embebido admite una única conexión simultánea y almacena su respaldo en el mismo equipo donde se registran las ventas.</w:t>
      </w:r>
    </w:p>
    <w:p>
      <w:pPr>
        <w:spacing w:after="130" w:line="300"/>
        <w:jc w:val="both"/>
      </w:pPr>
      <w:r>
        <w:rPr>
          <w:color w:val="000000"/>
          <w:sz w:val="22"/>
          <w:szCs w:val="22"/>
        </w:rPr>
        <w:t xml:space="preserve">El diagnóstico se construyó mediante entrevistas individuales a ambas propietarias, inspección técnica en terreno y análisis directo de la base de datos legada restaurada en un entorno controlado. Los hallazgos son verificables y cuantificados: de 4.109 registros de productos solo 1.135 registraron venta en cinco meses de operación y apenas 600 presentan rotación real; el sistema declara un margen de 53,4% sobre costo cuando el margen efectivo es de 51,6%, distorsión originada en un defecto de cálculo que en los productos a granel registra el margen de la unidad completa sin multiplicarlo por la cantidad vendida; el cierre de caja no incorpora las ventas a crédito, lo que explica la descuadratura que las propietarias concilian manualmente cada día; y no existe ningún campo de fecha de vencimiento ni de lote en las 241 columnas del esquema.</w:t>
      </w:r>
    </w:p>
    <w:p>
      <w:pPr>
        <w:spacing w:after="130" w:line="300"/>
        <w:jc w:val="both"/>
      </w:pPr>
      <w:r>
        <w:rPr>
          <w:color w:val="000000"/>
          <w:sz w:val="22"/>
          <w:szCs w:val="22"/>
        </w:rPr>
        <w:t xml:space="preserve">La solución propuesta reemplaza íntegramente el sistema actual e incorpora los módulos de productos, inventario con control de vencimientos y mermas, ventas, medios de pago, cierre de caja, compras, cuentas de clientes con crédito, gestión de usuarios y reportería de rentabilidad. Se construye en Python 3.11 con interfaz Tkinter, sobre una arquitectura de persistencia local en SQLite con réplica remota hacia PostgreSQL, decisión determinada por la restricción de que el equipo del establecimiento opera con Windows 8.1. La migración se ejecuta como evento único, precedida por ensayos en máquina virtual y una semana de marcha blanca supervisada, de modo que el sistema quede operando y validado por las usuarias antes de la presentación final.</w:t>
      </w:r>
    </w:p>
    <w:p>
      <w:pPr>
        <w:spacing w:after="130" w:line="300"/>
        <w:jc w:val="both"/>
      </w:pPr>
      <w:r>
        <w:rPr>
          <w:b/>
          <w:bCs/>
          <w:color w:val="000000"/>
          <w:sz w:val="22"/>
          <w:szCs w:val="22"/>
        </w:rPr>
        <w:t xml:space="preserve">Palabras clave: </w:t>
      </w:r>
      <w:r>
        <w:rPr>
          <w:i/>
          <w:iCs/>
          <w:color w:val="000000"/>
          <w:sz w:val="22"/>
          <w:szCs w:val="22"/>
        </w:rPr>
        <w:t xml:space="preserve">punto de venta, gestión de inventario, migración de datos, sistemas heredados, operación sin conexión, metodología ágil.</w:t>
      </w:r>
    </w:p>
    <w:p>
      <w:pPr>
        <w:pStyle w:val="Heading1"/>
        <w:spacing w:after="180" w:before="400"/>
      </w:pPr>
      <w:r>
        <w:rPr>
          <w:b/>
          <w:bCs/>
          <w:color w:val="1F3864"/>
          <w:sz w:val="28"/>
          <w:szCs w:val="28"/>
        </w:rPr>
        <w:t xml:space="preserve">Abstract</w:t>
      </w:r>
    </w:p>
    <w:p>
      <w:pPr>
        <w:spacing w:after="130" w:line="300"/>
        <w:jc w:val="both"/>
      </w:pPr>
      <w:r>
        <w:rPr>
          <w:color w:val="000000"/>
          <w:sz w:val="22"/>
          <w:szCs w:val="22"/>
        </w:rPr>
        <w:t xml:space="preserve">This project involves the development and deployment of a desktop point-of-sale and inventory application for Emporio NaturalSur, a natural, organic and gourmet food store located in Providencia, Santiago. The business currently operates with software inherited from its previous owners: Abarrotes Punto de Venta 2.12, developed in Mexico in 2010 and never updated since. Its embedded Firebird engine allows only one simultaneous connection and stores its backup on the same computer that records every sale.</w:t>
      </w:r>
    </w:p>
    <w:p>
      <w:pPr>
        <w:spacing w:after="130" w:line="300"/>
        <w:jc w:val="both"/>
      </w:pPr>
      <w:r>
        <w:rPr>
          <w:color w:val="000000"/>
          <w:sz w:val="22"/>
          <w:szCs w:val="22"/>
        </w:rPr>
        <w:t xml:space="preserve">The diagnosis was built through individual interviews with both owners, on-site technical inspection, and direct analysis of the legacy database restored in a controlled environment. The findings are verifiable and quantified: out of 4,109 product records, only 1,135 registered any sale over five months of operation and merely 600 show genuine turnover; the system reports a 53.4% margin on cost when the actual figure is 51.6%, a distortion caused by a calculation defect that records the margin of a full unit for bulk products without multiplying it by the quantity actually sold; the daily cash closing excludes credit sales, which explains the discrepancy the owners reconcile by hand every day; and there is no expiry date or batch field anywhere in the 241 columns of the schema.</w:t>
      </w:r>
    </w:p>
    <w:p>
      <w:pPr>
        <w:spacing w:after="130" w:line="300"/>
        <w:jc w:val="both"/>
      </w:pPr>
      <w:r>
        <w:rPr>
          <w:color w:val="000000"/>
          <w:sz w:val="22"/>
          <w:szCs w:val="22"/>
        </w:rPr>
        <w:t xml:space="preserve">The proposed solution fully replaces the current system and includes modules for products, inventory with expiry and shrinkage control, sales, payment methods, cash closing, purchasing, customer credit accounts, user management and profitability reporting. It is built in Python 3.11 with a Tkinter interface, on a local-first architecture using SQLite with remote replication to PostgreSQL — a decision driven by the constraint that the store computer runs Windows 8.1. Data migration is executed as a single event, preceded by rehearsals on a virtual machine and one week of supervised parallel operation, so that the system is running and validated by its users before the final presentation.</w:t>
      </w:r>
    </w:p>
    <w:p>
      <w:pPr>
        <w:spacing w:after="130" w:line="300"/>
        <w:jc w:val="both"/>
      </w:pPr>
      <w:r>
        <w:rPr>
          <w:b/>
          <w:bCs/>
          <w:color w:val="000000"/>
          <w:sz w:val="22"/>
          <w:szCs w:val="22"/>
        </w:rPr>
        <w:t xml:space="preserve">Keywords: </w:t>
      </w:r>
      <w:r>
        <w:rPr>
          <w:i/>
          <w:iCs/>
          <w:color w:val="000000"/>
          <w:sz w:val="22"/>
          <w:szCs w:val="22"/>
        </w:rPr>
        <w:t xml:space="preserve">point of sale, inventory management, data migration, legacy systems, offline operation, agile methodology.</w:t>
      </w:r>
    </w:p>
    <w:p>
      <w:pPr>
        <w:pStyle w:val="Heading1"/>
        <w:spacing w:after="180" w:before="400"/>
      </w:pPr>
      <w:r>
        <w:rPr>
          <w:b/>
          <w:bCs/>
          <w:color w:val="1F3864"/>
          <w:sz w:val="28"/>
          <w:szCs w:val="28"/>
        </w:rPr>
        <w:t xml:space="preserve">1. Introducción</w:t>
      </w:r>
    </w:p>
    <w:p>
      <w:pPr>
        <w:spacing w:after="130" w:line="300"/>
        <w:jc w:val="both"/>
      </w:pPr>
      <w:r>
        <w:rPr>
          <w:color w:val="000000"/>
          <w:sz w:val="22"/>
          <w:szCs w:val="22"/>
        </w:rPr>
        <w:t xml:space="preserve">La digitalización de los procesos comerciales en el pequeño comercio chileno avanza de forma desigual. Mientras la emisión de documentos tributarios electrónicos se encuentra ampliamente adoptada por exigencia normativa, la gestión interna de inventario, costos y rentabilidad continúa apoyándose en herramientas heredadas, planillas de cálculo y registros manuales. Esta asimetría produce una situación frecuente: negocios que cumplen sus obligaciones tributarias con precisión, pero que carecen de información confiable para decidir qué comprar, a qué precio vender y cuánto están ganando efectivamente.</w:t>
      </w:r>
    </w:p>
    <w:p>
      <w:pPr>
        <w:spacing w:after="130" w:line="300"/>
        <w:jc w:val="both"/>
      </w:pPr>
      <w:r>
        <w:rPr>
          <w:color w:val="000000"/>
          <w:sz w:val="22"/>
          <w:szCs w:val="22"/>
        </w:rPr>
        <w:t xml:space="preserve">Emporio NaturalSur constituye un caso representativo. El presente informe documenta el levantamiento de requerimientos realizado en el establecimiento, el diagnóstico técnico y operativo del sistema en uso, y la definición del proyecto que se desarrollará durante el segundo semestre de 2026 en el marco de la asignatura Capstone.</w:t>
      </w:r>
    </w:p>
    <w:p>
      <w:pPr>
        <w:spacing w:after="130" w:line="300"/>
        <w:jc w:val="both"/>
      </w:pPr>
      <w:r>
        <w:rPr>
          <w:color w:val="000000"/>
          <w:sz w:val="22"/>
          <w:szCs w:val="22"/>
        </w:rPr>
        <w:t xml:space="preserve">El documento se organiza en dieciséis secciones. Las primeras describen el proyecto, su relevancia y su vinculación con el perfil de egreso y con los intereses profesionales del equipo. La quinta presenta el diagnóstico con la evidencia recogida. Las secciones sexta a décima establecen objetivos, alcance, factibilidad, metodología y arquitectura. Las secciones undécima a decimocuarta detallan la planificación, las evidencias comprometidas y el cumplimiento de los indicadores de calidad disciplinarios.</w:t>
      </w:r>
    </w:p>
    <w:p>
      <w:pPr>
        <w:pStyle w:val="Heading1"/>
        <w:spacing w:after="180" w:before="400"/>
      </w:pPr>
      <w:r>
        <w:rPr>
          <w:b/>
          <w:bCs/>
          <w:color w:val="1F3864"/>
          <w:sz w:val="28"/>
          <w:szCs w:val="28"/>
        </w:rPr>
        <w:t xml:space="preserve">2. Descripción del proyecto y su relevancia</w:t>
      </w:r>
    </w:p>
    <w:p>
      <w:pPr>
        <w:pStyle w:val="Heading2"/>
        <w:spacing w:after="130" w:before="300"/>
      </w:pPr>
      <w:r>
        <w:rPr>
          <w:b/>
          <w:bCs/>
          <w:color w:val="222222"/>
          <w:sz w:val="24"/>
          <w:szCs w:val="24"/>
        </w:rPr>
        <w:t xml:space="preserve">2.1 La organización</w:t>
      </w:r>
    </w:p>
    <w:p>
      <w:pPr>
        <w:spacing w:after="130" w:line="300"/>
        <w:jc w:val="both"/>
      </w:pPr>
      <w:r>
        <w:rPr>
          <w:color w:val="000000"/>
          <w:sz w:val="22"/>
          <w:szCs w:val="22"/>
        </w:rPr>
        <w:t xml:space="preserve">Emporio NaturalSur es un comercio minorista de productos naturales, orgánicos y gourmet, con venta a granel y envasada, ubicado en la comuna de Providencia, Región Metropolitana. Opera bajo la administración de sus dos propietarias desde marzo de 2026, fecha en que adquirieron el negocio en funcionamiento junto con su infraestructura tecnológica.</w:t>
      </w:r>
    </w:p>
    <w:p>
      <w:pPr>
        <w:spacing w:after="130" w:line="300"/>
        <w:jc w:val="both"/>
      </w:pPr>
      <w:r>
        <w:rPr>
          <w:color w:val="000000"/>
          <w:sz w:val="22"/>
          <w:szCs w:val="22"/>
        </w:rPr>
        <w:t xml:space="preserve">La operación se sostiene en dos personas, con apoyo familiar ocasional que cubre reemplazos. El horario de atención es de lunes a viernes entre 9:30 y 21:00 horas, sábados entre 10:00 y 21:00, y domingos y festivos entre 10:00 y 15:00. Sobre 145 días medidos, el establecimiento registró una venta promedio de $205.851 diarios en 32,3 transacciones, con un ticket promedio de $6.374 y una mediana de una línea por ticket.</w:t>
      </w:r>
    </w:p>
    <w:p>
      <w:pPr>
        <w:spacing w:after="130" w:line="300"/>
        <w:jc w:val="both"/>
      </w:pPr>
      <w:r>
        <w:rPr>
          <w:color w:val="000000"/>
          <w:sz w:val="22"/>
          <w:szCs w:val="22"/>
        </w:rPr>
        <w:t xml:space="preserve">El catálogo comprende productos envasados con código de barras y productos a granel comercializados por peso, entre ellos frutos secos, legumbres, harinas y semillas. El establecimiento cuenta además con línea de panadería, productos refrigerados y cosmética natural.</w:t>
      </w:r>
    </w:p>
    <w:p>
      <w:pPr>
        <w:pStyle w:val="Heading2"/>
        <w:spacing w:after="130" w:before="300"/>
      </w:pPr>
      <w:r>
        <w:rPr>
          <w:b/>
          <w:bCs/>
          <w:color w:val="222222"/>
          <w:sz w:val="24"/>
          <w:szCs w:val="24"/>
        </w:rPr>
        <w:t xml:space="preserve">2.2 En qué consiste el proyecto</w:t>
      </w:r>
    </w:p>
    <w:p>
      <w:pPr>
        <w:spacing w:after="130" w:line="300"/>
        <w:jc w:val="both"/>
      </w:pPr>
      <w:r>
        <w:rPr>
          <w:color w:val="000000"/>
          <w:sz w:val="22"/>
          <w:szCs w:val="22"/>
        </w:rPr>
        <w:t xml:space="preserve">El proyecto consiste en desarrollar una aplicación de escritorio para el sistema operativo Windows que reemplace en su totalidad el software de punto de venta actualmente en uso, respaldada por una base de datos relacional y complementada por un proceso de migración de la información vigente.</w:t>
      </w:r>
    </w:p>
    <w:p>
      <w:pPr>
        <w:spacing w:after="130" w:line="300"/>
        <w:jc w:val="both"/>
      </w:pPr>
      <w:r>
        <w:rPr>
          <w:color w:val="000000"/>
          <w:sz w:val="22"/>
          <w:szCs w:val="22"/>
        </w:rPr>
        <w:t xml:space="preserve">No se trata de un módulo complementario ni de una extensión del sistema existente. La solución asume la operación completa del establecimiento: registro de ventas, gestión de medios de pago, cierre de caja, administración del catálogo, control de existencias con seguimiento de vencimientos y mermas, registro de compras a proveedores, cuentas de clientes con crédito, perfiles de usuario diferenciados y generación de reportes de rentabilidad.</w:t>
      </w:r>
    </w:p>
    <w:p>
      <w:pPr>
        <w:spacing w:after="130" w:line="300"/>
        <w:jc w:val="both"/>
      </w:pPr>
      <w:r>
        <w:rPr>
          <w:color w:val="000000"/>
          <w:sz w:val="22"/>
          <w:szCs w:val="22"/>
        </w:rPr>
        <w:t xml:space="preserve">El proyecto incorpora asimismo un componente de implantación: la migración de datos desde el sistema legado, la capacitación de las usuarias y un período de operación supervisada previo al retiro definitivo del software anterior.</w:t>
      </w:r>
    </w:p>
    <w:p>
      <w:pPr>
        <w:pStyle w:val="Heading2"/>
        <w:spacing w:after="130" w:before="300"/>
      </w:pPr>
      <w:r>
        <w:rPr>
          <w:b/>
          <w:bCs/>
          <w:color w:val="222222"/>
          <w:sz w:val="24"/>
          <w:szCs w:val="24"/>
        </w:rPr>
        <w:t xml:space="preserve">2.3 Relevancia para el campo laboral de la disciplina</w:t>
      </w:r>
    </w:p>
    <w:p>
      <w:pPr>
        <w:spacing w:after="130" w:line="300"/>
        <w:jc w:val="both"/>
      </w:pPr>
      <w:r>
        <w:rPr>
          <w:color w:val="000000"/>
          <w:sz w:val="22"/>
          <w:szCs w:val="22"/>
        </w:rPr>
        <w:t xml:space="preserve">El escenario que plantea este proyecto corresponde a una situación recurrente en el ejercicio profesional del ingeniero en informática: la sustitución de un sistema en producción del cual depende íntegramente la operación de una organización. A diferencia de un desarrollo desde cero, este contexto impone restricciones que constituyen el núcleo del trabajo profesional real.</w:t>
      </w:r>
    </w:p>
    <w:p>
      <w:pPr>
        <w:pStyle w:val="ListParagraph"/>
        <w:numPr>
          <w:ilvl w:val="0"/>
          <w:numId w:val="1"/>
        </w:numPr>
        <w:spacing w:after="130" w:line="300"/>
        <w:jc w:val="both"/>
      </w:pPr>
      <w:r>
        <w:rPr>
          <w:color w:val="000000"/>
          <w:sz w:val="22"/>
          <w:szCs w:val="22"/>
        </w:rPr>
        <w:t xml:space="preserve">Existe un sistema en funcionamiento cuya continuidad operativa no puede interrumpirse: el comercio debe seguir vendiendo durante todo el proceso.</w:t>
      </w:r>
    </w:p>
    <w:p>
      <w:pPr>
        <w:pStyle w:val="ListParagraph"/>
        <w:numPr>
          <w:ilvl w:val="0"/>
          <w:numId w:val="1"/>
        </w:numPr>
        <w:spacing w:after="130" w:line="300"/>
        <w:jc w:val="both"/>
      </w:pPr>
      <w:r>
        <w:rPr>
          <w:color w:val="000000"/>
          <w:sz w:val="22"/>
          <w:szCs w:val="22"/>
        </w:rPr>
        <w:t xml:space="preserve">Existen datos históricos con problemas de calidad que deben ser evaluados, depurados y migrados, no simplemente trasladados.</w:t>
      </w:r>
    </w:p>
    <w:p>
      <w:pPr>
        <w:pStyle w:val="ListParagraph"/>
        <w:numPr>
          <w:ilvl w:val="0"/>
          <w:numId w:val="1"/>
        </w:numPr>
        <w:spacing w:after="130" w:line="300"/>
        <w:jc w:val="both"/>
      </w:pPr>
      <w:r>
        <w:rPr>
          <w:color w:val="000000"/>
          <w:sz w:val="22"/>
          <w:szCs w:val="22"/>
        </w:rPr>
        <w:t xml:space="preserve">Existen usuarias con procedimientos consolidados que deben ser comprendidos antes de ser modificados, y capacitadas antes del cambio.</w:t>
      </w:r>
    </w:p>
    <w:p>
      <w:pPr>
        <w:pStyle w:val="ListParagraph"/>
        <w:numPr>
          <w:ilvl w:val="0"/>
          <w:numId w:val="1"/>
        </w:numPr>
        <w:spacing w:after="130" w:line="300"/>
        <w:jc w:val="both"/>
      </w:pPr>
      <w:r>
        <w:rPr>
          <w:color w:val="000000"/>
          <w:sz w:val="22"/>
          <w:szCs w:val="22"/>
        </w:rPr>
        <w:t xml:space="preserve">Existe infraestructura preexistente —equipo, periféricos, terminal de pago— cuyas limitaciones condicionan las decisiones de diseño.</w:t>
      </w:r>
    </w:p>
    <w:p>
      <w:pPr>
        <w:pStyle w:val="ListParagraph"/>
        <w:numPr>
          <w:ilvl w:val="0"/>
          <w:numId w:val="1"/>
        </w:numPr>
        <w:spacing w:after="130" w:line="300"/>
        <w:jc w:val="both"/>
      </w:pPr>
      <w:r>
        <w:rPr>
          <w:color w:val="000000"/>
          <w:sz w:val="22"/>
          <w:szCs w:val="22"/>
        </w:rPr>
        <w:t xml:space="preserve">Existe la obligación de disponer de un procedimiento de reversa: si la migración falla, la organización debe poder continuar operando.</w:t>
      </w:r>
    </w:p>
    <w:p>
      <w:pPr>
        <w:spacing w:after="130" w:line="300"/>
        <w:jc w:val="both"/>
      </w:pPr>
      <w:r>
        <w:rPr>
          <w:color w:val="000000"/>
          <w:sz w:val="22"/>
          <w:szCs w:val="22"/>
        </w:rPr>
        <w:t xml:space="preserve">El proyecto exige, además, un ejercicio de análisis que precede al desarrollo. Los problemas reportados inicialmente por las propietarias —«el sistema es antiguo», «el stock no cuadra», «el margen está mal»— requirieron ser traducidos a causas técnicas verificables mediante consultas sobre la base de datos real. Ese proceso de traducción constituye una competencia central del perfil profesional y es lo que distingue un diagnóstico de una impresión.</w:t>
      </w:r>
    </w:p>
    <w:p>
      <w:pPr>
        <w:spacing w:after="130" w:line="300"/>
        <w:jc w:val="both"/>
      </w:pPr>
      <w:r>
        <w:rPr>
          <w:color w:val="000000"/>
          <w:sz w:val="22"/>
          <w:szCs w:val="22"/>
        </w:rPr>
        <w:t xml:space="preserve">El valor entregado a la organización es directo y medible: acceso a información de rentabilidad confiable para decidir compras y precios, reducción del riesgo de pérdida total de información por fallo del equipo, eliminación de trabajo administrativo manual, y control efectivo de vencimientos y mermas sobre productos perecibles.</w:t>
      </w:r>
    </w:p>
    <w:p>
      <w:pPr>
        <w:pStyle w:val="Heading1"/>
        <w:spacing w:after="180" w:before="400"/>
      </w:pPr>
      <w:r>
        <w:rPr>
          <w:b/>
          <w:bCs/>
          <w:color w:val="1F3864"/>
          <w:sz w:val="28"/>
          <w:szCs w:val="28"/>
        </w:rPr>
        <w:t xml:space="preserve">3. Relación con el perfil de egreso</w:t>
      </w:r>
    </w:p>
    <w:p>
      <w:pPr>
        <w:spacing w:after="130" w:line="300"/>
        <w:jc w:val="both"/>
      </w:pPr>
      <w:r>
        <w:rPr>
          <w:color w:val="000000"/>
          <w:sz w:val="22"/>
          <w:szCs w:val="22"/>
        </w:rPr>
        <w:t xml:space="preserve">El perfil de egreso de Ingeniería en Informática de Duoc UC declara que el profesional es capaz de analizar, diseñar, desarrollar, implementar y gestionar proyectos informáticos, velando por la seguridad y la calidad de los sistemas, aplicaciones e información, proponiendo nuevas soluciones tecnológicas e integrando y adaptando sistemas existentes.</w:t>
      </w:r>
    </w:p>
    <w:p>
      <w:pPr>
        <w:spacing w:after="130" w:line="300"/>
        <w:jc w:val="both"/>
      </w:pPr>
      <w:r>
        <w:rPr>
          <w:color w:val="000000"/>
          <w:sz w:val="22"/>
          <w:szCs w:val="22"/>
        </w:rPr>
        <w:t xml:space="preserve">El proyecto recorre ese ciclo completo, y cada etapa moviliza competencias específicas:</w:t>
      </w:r>
    </w:p>
    <w:p>
      <w:pPr>
        <w:spacing w:after="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6800"/>
      </w:tblGrid>
      <w:tr>
        <w:trPr>
          <w:tblHeader/>
        </w:trPr>
        <w:tc>
          <w:tcPr>
            <w:tcW w:type="dxa" w:w="2100"/>
            <w:shd w:fill="E8EEF4" w:val="clear"/>
            <w:tcMar>
              <w:top w:type="dxa" w:w="80"/>
              <w:left w:type="dxa" w:w="110"/>
              <w:bottom w:type="dxa" w:w="80"/>
              <w:right w:type="dxa" w:w="110"/>
            </w:tcMar>
            <w:vAlign w:val="top"/>
          </w:tcPr>
          <w:p>
            <w:pPr>
              <w:spacing w:after="0"/>
            </w:pPr>
            <w:r>
              <w:rPr>
                <w:b/>
                <w:bCs/>
                <w:color w:val="000000"/>
                <w:sz w:val="19"/>
                <w:szCs w:val="19"/>
              </w:rPr>
              <w:t xml:space="preserve">Etapa del ciclo</w:t>
            </w:r>
          </w:p>
        </w:tc>
        <w:tc>
          <w:tcPr>
            <w:tcW w:type="dxa" w:w="6800"/>
            <w:shd w:fill="E8EEF4" w:val="clear"/>
            <w:tcMar>
              <w:top w:type="dxa" w:w="80"/>
              <w:left w:type="dxa" w:w="110"/>
              <w:bottom w:type="dxa" w:w="80"/>
              <w:right w:type="dxa" w:w="110"/>
            </w:tcMar>
            <w:vAlign w:val="top"/>
          </w:tcPr>
          <w:p>
            <w:pPr>
              <w:spacing w:after="0"/>
            </w:pPr>
            <w:r>
              <w:rPr>
                <w:b/>
                <w:bCs/>
                <w:color w:val="000000"/>
                <w:sz w:val="19"/>
                <w:szCs w:val="19"/>
              </w:rPr>
              <w:t xml:space="preserve">Competencia movilizada y cómo se aplica</w:t>
            </w:r>
          </w:p>
        </w:tc>
      </w:tr>
      <w:tr>
        <w:tc>
          <w:tcPr>
            <w:tcW w:type="dxa" w:w="2100"/>
            <w:tcMar>
              <w:top w:type="dxa" w:w="80"/>
              <w:left w:type="dxa" w:w="110"/>
              <w:bottom w:type="dxa" w:w="80"/>
              <w:right w:type="dxa" w:w="110"/>
            </w:tcMar>
            <w:vAlign w:val="top"/>
          </w:tcPr>
          <w:p>
            <w:pPr>
              <w:spacing w:after="0"/>
            </w:pPr>
            <w:r>
              <w:rPr>
                <w:b w:val="false"/>
                <w:bCs w:val="false"/>
                <w:color w:val="000000"/>
                <w:sz w:val="19"/>
                <w:szCs w:val="19"/>
              </w:rPr>
              <w:t xml:space="preserve">Analizar</w:t>
            </w:r>
          </w:p>
        </w:tc>
        <w:tc>
          <w:tcPr>
            <w:tcW w:type="dxa" w:w="6800"/>
            <w:tcMar>
              <w:top w:type="dxa" w:w="80"/>
              <w:left w:type="dxa" w:w="110"/>
              <w:bottom w:type="dxa" w:w="80"/>
              <w:right w:type="dxa" w:w="110"/>
            </w:tcMar>
            <w:vAlign w:val="top"/>
          </w:tcPr>
          <w:p>
            <w:pPr>
              <w:spacing w:after="0"/>
            </w:pPr>
            <w:r>
              <w:rPr>
                <w:b w:val="false"/>
                <w:bCs w:val="false"/>
                <w:color w:val="000000"/>
                <w:sz w:val="19"/>
                <w:szCs w:val="19"/>
              </w:rPr>
              <w:t xml:space="preserve">Ingeniería de requisitos. El diagnóstico del sistema heredado, las entrevistas con las propietarias y el análisis de la base de datos exigen levantar, especificar y validar requerimientos sobre una organización en operación.</w:t>
            </w:r>
          </w:p>
        </w:tc>
      </w:tr>
      <w:tr>
        <w:tc>
          <w:tcPr>
            <w:tcW w:type="dxa" w:w="2100"/>
            <w:tcMar>
              <w:top w:type="dxa" w:w="80"/>
              <w:left w:type="dxa" w:w="110"/>
              <w:bottom w:type="dxa" w:w="80"/>
              <w:right w:type="dxa" w:w="110"/>
            </w:tcMar>
            <w:vAlign w:val="top"/>
          </w:tcPr>
          <w:p>
            <w:pPr>
              <w:spacing w:after="0"/>
            </w:pPr>
            <w:r>
              <w:rPr>
                <w:b w:val="false"/>
                <w:bCs w:val="false"/>
                <w:color w:val="000000"/>
                <w:sz w:val="19"/>
                <w:szCs w:val="19"/>
              </w:rPr>
              <w:t xml:space="preserve">Diseñar</w:t>
            </w:r>
          </w:p>
        </w:tc>
        <w:tc>
          <w:tcPr>
            <w:tcW w:type="dxa" w:w="6800"/>
            <w:tcMar>
              <w:top w:type="dxa" w:w="80"/>
              <w:left w:type="dxa" w:w="110"/>
              <w:bottom w:type="dxa" w:w="80"/>
              <w:right w:type="dxa" w:w="110"/>
            </w:tcMar>
            <w:vAlign w:val="top"/>
          </w:tcPr>
          <w:p>
            <w:pPr>
              <w:spacing w:after="0"/>
            </w:pPr>
            <w:r>
              <w:rPr>
                <w:b w:val="false"/>
                <w:bCs w:val="false"/>
                <w:color w:val="000000"/>
                <w:sz w:val="19"/>
                <w:szCs w:val="19"/>
              </w:rPr>
              <w:t xml:space="preserve">Diseño de soluciones y modelamiento de datos. La arquitectura de persistencia local con réplica remota, el modelo relacional de destino y los diagramas UML requieren decidir entre alternativas y justificar cada decisión.</w:t>
            </w:r>
          </w:p>
        </w:tc>
      </w:tr>
      <w:tr>
        <w:tc>
          <w:tcPr>
            <w:tcW w:type="dxa" w:w="2100"/>
            <w:tcMar>
              <w:top w:type="dxa" w:w="80"/>
              <w:left w:type="dxa" w:w="110"/>
              <w:bottom w:type="dxa" w:w="80"/>
              <w:right w:type="dxa" w:w="110"/>
            </w:tcMar>
            <w:vAlign w:val="top"/>
          </w:tcPr>
          <w:p>
            <w:pPr>
              <w:spacing w:after="0"/>
            </w:pPr>
            <w:r>
              <w:rPr>
                <w:b w:val="false"/>
                <w:bCs w:val="false"/>
                <w:color w:val="000000"/>
                <w:sz w:val="19"/>
                <w:szCs w:val="19"/>
              </w:rPr>
              <w:t xml:space="preserve">Desarrollar</w:t>
            </w:r>
          </w:p>
        </w:tc>
        <w:tc>
          <w:tcPr>
            <w:tcW w:type="dxa" w:w="6800"/>
            <w:tcMar>
              <w:top w:type="dxa" w:w="80"/>
              <w:left w:type="dxa" w:w="110"/>
              <w:bottom w:type="dxa" w:w="80"/>
              <w:right w:type="dxa" w:w="110"/>
            </w:tcMar>
            <w:vAlign w:val="top"/>
          </w:tcPr>
          <w:p>
            <w:pPr>
              <w:spacing w:after="0"/>
            </w:pPr>
            <w:r>
              <w:rPr>
                <w:b w:val="false"/>
                <w:bCs w:val="false"/>
                <w:color w:val="000000"/>
                <w:sz w:val="19"/>
                <w:szCs w:val="19"/>
              </w:rPr>
              <w:t xml:space="preserve">Desarrollo de software e integración de sistemas. La construcción de la aplicación y del proceso de carga aplica buenas prácticas de codificación, control de versiones y arquitectura por capas.</w:t>
            </w:r>
          </w:p>
        </w:tc>
      </w:tr>
      <w:tr>
        <w:tc>
          <w:tcPr>
            <w:tcW w:type="dxa" w:w="2100"/>
            <w:tcMar>
              <w:top w:type="dxa" w:w="80"/>
              <w:left w:type="dxa" w:w="110"/>
              <w:bottom w:type="dxa" w:w="80"/>
              <w:right w:type="dxa" w:w="110"/>
            </w:tcMar>
            <w:vAlign w:val="top"/>
          </w:tcPr>
          <w:p>
            <w:pPr>
              <w:spacing w:after="0"/>
            </w:pPr>
            <w:r>
              <w:rPr>
                <w:b w:val="false"/>
                <w:bCs w:val="false"/>
                <w:color w:val="000000"/>
                <w:sz w:val="19"/>
                <w:szCs w:val="19"/>
              </w:rPr>
              <w:t xml:space="preserve">Implementar</w:t>
            </w:r>
          </w:p>
        </w:tc>
        <w:tc>
          <w:tcPr>
            <w:tcW w:type="dxa" w:w="6800"/>
            <w:tcMar>
              <w:top w:type="dxa" w:w="80"/>
              <w:left w:type="dxa" w:w="110"/>
              <w:bottom w:type="dxa" w:w="80"/>
              <w:right w:type="dxa" w:w="110"/>
            </w:tcMar>
            <w:vAlign w:val="top"/>
          </w:tcPr>
          <w:p>
            <w:pPr>
              <w:spacing w:after="0"/>
            </w:pPr>
            <w:r>
              <w:rPr>
                <w:b w:val="false"/>
                <w:bCs w:val="false"/>
                <w:color w:val="000000"/>
                <w:sz w:val="19"/>
                <w:szCs w:val="19"/>
              </w:rPr>
              <w:t xml:space="preserve">Implementación y operación. La instalación en el entorno del cliente, la migración de la información y la capacitación de las usuarias movilizan competencias de puesta en marcha.</w:t>
            </w:r>
          </w:p>
        </w:tc>
      </w:tr>
      <w:tr>
        <w:tc>
          <w:tcPr>
            <w:tcW w:type="dxa" w:w="2100"/>
            <w:tcMar>
              <w:top w:type="dxa" w:w="80"/>
              <w:left w:type="dxa" w:w="110"/>
              <w:bottom w:type="dxa" w:w="80"/>
              <w:right w:type="dxa" w:w="110"/>
            </w:tcMar>
            <w:vAlign w:val="top"/>
          </w:tcPr>
          <w:p>
            <w:pPr>
              <w:spacing w:after="0"/>
            </w:pPr>
            <w:r>
              <w:rPr>
                <w:b w:val="false"/>
                <w:bCs w:val="false"/>
                <w:color w:val="000000"/>
                <w:sz w:val="19"/>
                <w:szCs w:val="19"/>
              </w:rPr>
              <w:t xml:space="preserve">Velar por la calidad y la seguridad</w:t>
            </w:r>
          </w:p>
        </w:tc>
        <w:tc>
          <w:tcPr>
            <w:tcW w:type="dxa" w:w="6800"/>
            <w:tcMar>
              <w:top w:type="dxa" w:w="80"/>
              <w:left w:type="dxa" w:w="110"/>
              <w:bottom w:type="dxa" w:w="80"/>
              <w:right w:type="dxa" w:w="110"/>
            </w:tcMar>
            <w:vAlign w:val="top"/>
          </w:tcPr>
          <w:p>
            <w:pPr>
              <w:spacing w:after="0"/>
            </w:pPr>
            <w:r>
              <w:rPr>
                <w:b w:val="false"/>
                <w:bCs w:val="false"/>
                <w:color w:val="000000"/>
                <w:sz w:val="19"/>
                <w:szCs w:val="19"/>
              </w:rPr>
              <w:t xml:space="preserve">Aseguramiento de calidad. El plan de pruebas unitarias, de integración, de rendimiento y de seguridad, el control de acceso por roles y las políticas de protección de datos responden a esta competencia.</w:t>
            </w:r>
          </w:p>
        </w:tc>
      </w:tr>
      <w:tr>
        <w:tc>
          <w:tcPr>
            <w:tcW w:type="dxa" w:w="2100"/>
            <w:tcMar>
              <w:top w:type="dxa" w:w="80"/>
              <w:left w:type="dxa" w:w="110"/>
              <w:bottom w:type="dxa" w:w="80"/>
              <w:right w:type="dxa" w:w="110"/>
            </w:tcMar>
            <w:vAlign w:val="top"/>
          </w:tcPr>
          <w:p>
            <w:pPr>
              <w:spacing w:after="0"/>
            </w:pPr>
            <w:r>
              <w:rPr>
                <w:b w:val="false"/>
                <w:bCs w:val="false"/>
                <w:color w:val="000000"/>
                <w:sz w:val="19"/>
                <w:szCs w:val="19"/>
              </w:rPr>
              <w:t xml:space="preserve">Gestionar</w:t>
            </w:r>
          </w:p>
        </w:tc>
        <w:tc>
          <w:tcPr>
            <w:tcW w:type="dxa" w:w="6800"/>
            <w:tcMar>
              <w:top w:type="dxa" w:w="80"/>
              <w:left w:type="dxa" w:w="110"/>
              <w:bottom w:type="dxa" w:w="80"/>
              <w:right w:type="dxa" w:w="110"/>
            </w:tcMar>
            <w:vAlign w:val="top"/>
          </w:tcPr>
          <w:p>
            <w:pPr>
              <w:spacing w:after="0"/>
            </w:pPr>
            <w:r>
              <w:rPr>
                <w:b w:val="false"/>
                <w:bCs w:val="false"/>
                <w:color w:val="000000"/>
                <w:sz w:val="19"/>
                <w:szCs w:val="19"/>
              </w:rPr>
              <w:t xml:space="preserve">Gestión de proyectos informáticos. La planificación por sprints, el uso de control de versiones, la distribución de roles ágiles y el seguimiento en tablero desarrollan las competencias de trabajo en equipo.</w:t>
            </w:r>
          </w:p>
        </w:tc>
      </w:tr>
    </w:tbl>
    <w:p>
      <w:pPr>
        <w:spacing w:after="160"/>
      </w:pPr>
    </w:p>
    <w:p>
      <w:pPr>
        <w:spacing w:after="130" w:line="300"/>
        <w:jc w:val="both"/>
      </w:pPr>
      <w:r>
        <w:rPr>
          <w:color w:val="000000"/>
          <w:sz w:val="22"/>
          <w:szCs w:val="22"/>
        </w:rPr>
        <w:t xml:space="preserve">La competencia de integrar y adaptar sistemas existentes resulta especialmente necesaria: el problema no se resuelve construyendo un sistema nuevo e ignorando el anterior. La información acumulada durante años en el sistema actual debe ser extraída, interpretada y depurada antes de trasladarse, sobre una base de datos sin documentación y con restricciones técnicas de acceso que obligaron a resolver el problema con herramientas nativas del motor y no con controladores modernos.</w:t>
      </w:r>
    </w:p>
    <w:p>
      <w:pPr>
        <w:pStyle w:val="Heading1"/>
        <w:spacing w:after="180" w:before="400"/>
      </w:pPr>
      <w:r>
        <w:rPr>
          <w:b/>
          <w:bCs/>
          <w:color w:val="1F3864"/>
          <w:sz w:val="28"/>
          <w:szCs w:val="28"/>
        </w:rPr>
        <w:t xml:space="preserve">4. Relación con los intereses profesionales</w:t>
      </w:r>
    </w:p>
    <w:p>
      <w:pPr>
        <w:pStyle w:val="Heading2"/>
        <w:spacing w:after="130" w:before="300"/>
      </w:pPr>
      <w:r>
        <w:rPr>
          <w:b/>
          <w:bCs/>
          <w:color w:val="222222"/>
          <w:sz w:val="24"/>
          <w:szCs w:val="24"/>
        </w:rPr>
        <w:t xml:space="preserve">Victoria Roa Seitz</w:t>
      </w:r>
    </w:p>
    <w:p>
      <w:pPr>
        <w:spacing w:after="130" w:line="300"/>
        <w:jc w:val="both"/>
      </w:pPr>
      <w:r>
        <w:rPr>
          <w:color w:val="000000"/>
          <w:sz w:val="22"/>
          <w:szCs w:val="22"/>
        </w:rPr>
        <w:t xml:space="preserve">Mis intereses profesionales se orientan a la gestión de proyectos, la documentación y el trabajo propio de una PMO: definir alcances, estructurar actividades, controlar avances y dejar registro formal de las decisiones, de modo que el trabajo del equipo sea trazable y comprensible para terceros.</w:t>
      </w:r>
    </w:p>
    <w:p>
      <w:pPr>
        <w:spacing w:after="130" w:line="300"/>
        <w:jc w:val="both"/>
      </w:pPr>
      <w:r>
        <w:rPr>
          <w:color w:val="000000"/>
          <w:sz w:val="22"/>
          <w:szCs w:val="22"/>
        </w:rPr>
        <w:t xml:space="preserve">Esos intereses se reflejan directamente en mi rol dentro del proyecto, que combina el de Scrum Master con el de análisis y documentación: levantamiento de requerimientos con las propietarias, elaboración de los informes, modelamiento de datos, construcción del plan de trabajo y la carta Gantt, control de plazos y registro de acuerdos en actas. A ello se suma que el sistema actual del emporio carece por completo de documentación, por lo que levantarla y formalizarla es parte del trabajo.</w:t>
      </w:r>
    </w:p>
    <w:p>
      <w:pPr>
        <w:spacing w:after="130" w:line="300"/>
        <w:jc w:val="both"/>
      </w:pPr>
      <w:r>
        <w:rPr>
          <w:color w:val="000000"/>
          <w:sz w:val="22"/>
          <w:szCs w:val="22"/>
        </w:rPr>
        <w:t xml:space="preserve">Realizar este proyecto contribuye a mi desarrollo profesional porque me permite ejercer funciones de gestión en un contexto real, producir documentación bajo estándares formales usados en la industria, y comunicar decisiones técnicas a personas sin formación informática, habilidad central en la gestión de proyectos.</w:t>
      </w:r>
    </w:p>
    <w:p>
      <w:pPr>
        <w:pStyle w:val="Heading2"/>
        <w:spacing w:after="130" w:before="300"/>
      </w:pPr>
      <w:r>
        <w:rPr>
          <w:b/>
          <w:bCs/>
          <w:color w:val="222222"/>
          <w:sz w:val="24"/>
          <w:szCs w:val="24"/>
        </w:rPr>
        <w:t xml:space="preserve">Eduardo Andrés Guzmán Manquehual</w:t>
      </w:r>
    </w:p>
    <w:p>
      <w:pPr>
        <w:spacing w:after="130" w:line="300"/>
        <w:jc w:val="both"/>
      </w:pPr>
      <w:r>
        <w:rPr>
          <w:color w:val="000000"/>
          <w:sz w:val="22"/>
          <w:szCs w:val="22"/>
        </w:rPr>
        <w:t xml:space="preserve">Mis intereses profesionales van hacia el desarrollo y la puesta en marcha de proyectos, y hacia las pruebas de monitoreo. Me interesa crear un proyecto con mis compañeros que ponga a prueba mis conocimientos y amplíe las tecnologías que conozco: el desarrollo de base de datos, las pruebas en máquinas virtuales y el testeo del proyecto son parte de los intereses que tengo y de lo que puedo aportar.</w:t>
      </w:r>
    </w:p>
    <w:p>
      <w:pPr>
        <w:spacing w:after="130" w:line="300"/>
        <w:jc w:val="both"/>
      </w:pPr>
      <w:r>
        <w:rPr>
          <w:color w:val="000000"/>
          <w:sz w:val="22"/>
          <w:szCs w:val="22"/>
        </w:rPr>
        <w:t xml:space="preserve">Al realizar este proyecto pongo a prueba mis conocimientos y puedo utilizarlo como muestra de lo que sé y de lo que puedo mejorar. Al estar en un repositorio público, será una muestra tanto de mis fortalezas como de mis debilidades, y será parte del proceso en el que se demuestre lo que sé y lo que aprendo.</w:t>
      </w:r>
    </w:p>
    <w:p>
      <w:pPr>
        <w:pStyle w:val="Heading2"/>
        <w:spacing w:after="130" w:before="300"/>
      </w:pPr>
      <w:r>
        <w:rPr>
          <w:b/>
          <w:bCs/>
          <w:color w:val="222222"/>
          <w:sz w:val="24"/>
          <w:szCs w:val="24"/>
        </w:rPr>
        <w:t xml:space="preserve">Fernando Antonio Silva Trincado</w:t>
      </w:r>
    </w:p>
    <w:p>
      <w:pPr>
        <w:spacing w:after="130" w:line="300"/>
        <w:jc w:val="both"/>
      </w:pPr>
      <w:r>
        <w:rPr>
          <w:color w:val="000000"/>
          <w:sz w:val="22"/>
          <w:szCs w:val="22"/>
        </w:rPr>
        <w:t xml:space="preserve">Mis intereses profesionales se orientan al desarrollo de software y, a mediano plazo, al liderazgo de equipos técnicos sin dejar de programar. Me interesa llegar a ser un buen desarrollador y, desde ahí, conducir equipos manteniendo la participación directa en la construcción del producto y no solo en su coordinación.</w:t>
      </w:r>
    </w:p>
    <w:p>
      <w:pPr>
        <w:spacing w:after="130" w:line="300"/>
        <w:jc w:val="both"/>
      </w:pPr>
      <w:r>
        <w:rPr>
          <w:color w:val="000000"/>
          <w:sz w:val="22"/>
          <w:szCs w:val="22"/>
        </w:rPr>
        <w:t xml:space="preserve">En el proyecto esos intereses se reflejan en dos frentes. El primero es el desarrollo propiamente tal: la definición del stack tecnológico, el diseño de la arquitectura de la aplicación y la construcción de sus módulos. El segundo es la gestión: la información técnica que debo levantar, documentar y mantener actualizada para que mis compañeros puedan trabajar sobre una base común. Sostener esa documentación es parte del trabajo del equipo y no una tarea accesoria, porque de ella depende que el resto pueda avanzar sin bloquearse.</w:t>
      </w:r>
    </w:p>
    <w:p>
      <w:pPr>
        <w:spacing w:after="130" w:line="300"/>
        <w:jc w:val="both"/>
      </w:pPr>
      <w:r>
        <w:rPr>
          <w:color w:val="000000"/>
          <w:sz w:val="22"/>
          <w:szCs w:val="22"/>
        </w:rPr>
        <w:t xml:space="preserve">Realizar este proyecto contribuye a mi desarrollo profesional porque me permite aplicar en un caso real las herramientas y la experiencia acumuladas en proyectos anteriores, y contrastar si las decisiones que tomo se sostienen cuando el sistema debe operar en producción y no solo en un entorno de prueba.</w:t>
      </w:r>
    </w:p>
    <w:p>
      <w:pPr>
        <w:pStyle w:val="Heading1"/>
        <w:spacing w:after="180" w:before="400"/>
      </w:pPr>
      <w:r>
        <w:rPr>
          <w:b/>
          <w:bCs/>
          <w:color w:val="1F3864"/>
          <w:sz w:val="28"/>
          <w:szCs w:val="28"/>
        </w:rPr>
        <w:t xml:space="preserve">5. Diagnóstico de la situación actual</w:t>
      </w:r>
    </w:p>
    <w:p>
      <w:pPr>
        <w:spacing w:after="130" w:line="300"/>
        <w:jc w:val="both"/>
      </w:pPr>
      <w:r>
        <w:rPr>
          <w:color w:val="000000"/>
          <w:sz w:val="22"/>
          <w:szCs w:val="22"/>
        </w:rPr>
        <w:t xml:space="preserve">El diagnóstico se construyó a partir de tres fuentes independientes: entrevistas individuales a ambas propietarias, inspección técnica presencial del equipamiento, y análisis directo de la base de datos del sistema legado, restaurada en una máquina virtual generada a partir del equipo del establecimiento. Las conclusiones se sustentan en evidencia verificable y no en la percepción declarada por las usuarias, la cual en varios puntos resultó divergir del comportamiento observado.</w:t>
      </w:r>
    </w:p>
    <w:p>
      <w:pPr>
        <w:pStyle w:val="Heading2"/>
        <w:spacing w:after="130" w:before="300"/>
      </w:pPr>
      <w:r>
        <w:rPr>
          <w:b/>
          <w:bCs/>
          <w:color w:val="222222"/>
          <w:sz w:val="24"/>
          <w:szCs w:val="24"/>
        </w:rPr>
        <w:t xml:space="preserve">5.1 El sistema en uso</w:t>
      </w:r>
    </w:p>
    <w:p>
      <w:pPr>
        <w:spacing w:after="130" w:line="300"/>
        <w:jc w:val="both"/>
      </w:pPr>
      <w:r>
        <w:rPr>
          <w:color w:val="000000"/>
          <w:sz w:val="22"/>
          <w:szCs w:val="22"/>
        </w:rPr>
        <w:t xml:space="preserve">El establecimiento opera con Abarrotes Punto de Venta versión 2.12, desarrollado por Bambu Code S.A. de C.V. (Chihuahua, México), con copyright del año 2010. El producto fue renombrado comercialmente como eleventa en 2013, quedando la versión 2.12 fuera de la línea de actualizaciones. No cuenta con soporte técnico vigente ni con proveedor local.</w:t>
      </w:r>
    </w:p>
    <w:p>
      <w:pPr>
        <w:spacing w:after="130" w:line="300"/>
        <w:jc w:val="both"/>
      </w:pPr>
      <w:r>
        <w:rPr>
          <w:color w:val="000000"/>
          <w:sz w:val="22"/>
          <w:szCs w:val="22"/>
        </w:rPr>
        <w:t xml:space="preserve">La edición instalada corresponde a la modalidad MonoCaja, que utiliza Firebird 2.0.3 en formato ODS 11.0 y configuración embebida. Esta arquitectura no ejecuta un servidor de base de datos, sino que accede directamente al archivo, lo que impone una restricción estructural: solo un proceso puede mantener la conexión a la vez. En la práctica, esto significa que una sola persona puede operar la caja aunque el sistema permita mantener varios tickets abiertos.</w:t>
      </w:r>
    </w:p>
    <w:p>
      <w:pPr>
        <w:spacing w:after="130" w:line="300"/>
        <w:jc w:val="both"/>
      </w:pPr>
      <w:r>
        <w:rPr>
          <w:color w:val="000000"/>
          <w:sz w:val="22"/>
          <w:szCs w:val="22"/>
        </w:rPr>
        <w:t xml:space="preserve">El módulo de facturación incorporado corresponde al estándar CFDI mexicano, inaplicable en Chile. La emisión de documentos tributarios se resuelve por una vía independiente.</w:t>
      </w:r>
    </w:p>
    <w:p>
      <w:pPr>
        <w:pStyle w:val="Heading2"/>
        <w:spacing w:after="130" w:before="300"/>
      </w:pPr>
      <w:r>
        <w:rPr>
          <w:b/>
          <w:bCs/>
          <w:color w:val="222222"/>
          <w:sz w:val="24"/>
          <w:szCs w:val="24"/>
        </w:rPr>
        <w:t xml:space="preserve">5.2 Calidad del catálogo</w:t>
      </w:r>
    </w:p>
    <w:p>
      <w:pPr>
        <w:spacing w:after="130" w:line="300"/>
        <w:jc w:val="both"/>
      </w:pPr>
      <w:r>
        <w:rPr>
          <w:color w:val="000000"/>
          <w:sz w:val="22"/>
          <w:szCs w:val="22"/>
        </w:rPr>
        <w:t xml:space="preserve">La base contiene 4.109 registros de productos. Solo 1.135 registraron alguna venta entre el traspaso del negocio y el corte del análisis, y de estos apenas 600 presentan rotación real, entendida como tres ventas o más en el período. El resto corresponde a surtido de la administración anterior que ya no se comercializa.</w:t>
      </w:r>
    </w:p>
    <w:p>
      <w:pPr>
        <w:spacing w:after="130" w:line="300"/>
        <w:jc w:val="both"/>
      </w:pPr>
      <w:r>
        <w:rPr>
          <w:color w:val="000000"/>
          <w:sz w:val="22"/>
          <w:szCs w:val="22"/>
        </w:rPr>
        <w:t xml:space="preserve">Sobre el catálogo activo se identificaron además tres problemas de integridad: 912 productos sin departamento asignado, lo que inutiliza cualquier reporte por categoría; 101 productos con existencia negativa, situación que el sistema permite sin advertencia; y 5 productos con costo cero, de un total de 358 en el catálogo completo. Un producto sin costo genera por definición un margen del 100% e ingresa como ganancia íntegra al reporte de cierre.</w:t>
      </w:r>
    </w:p>
    <w:p>
      <w:pPr>
        <w:pStyle w:val="Heading2"/>
        <w:spacing w:after="130" w:before="300"/>
      </w:pPr>
      <w:r>
        <w:rPr>
          <w:b/>
          <w:bCs/>
          <w:color w:val="222222"/>
          <w:sz w:val="24"/>
          <w:szCs w:val="24"/>
        </w:rPr>
        <w:t xml:space="preserve">5.3 Cálculo de rentabilidad</w:t>
      </w:r>
    </w:p>
    <w:p>
      <w:pPr>
        <w:spacing w:after="130" w:line="300"/>
        <w:jc w:val="both"/>
      </w:pPr>
      <w:r>
        <w:rPr>
          <w:color w:val="000000"/>
          <w:sz w:val="22"/>
          <w:szCs w:val="22"/>
        </w:rPr>
        <w:t xml:space="preserve">Ambas propietarias reportaron de forma independiente que el porcentaje de ganancia mostrado por el sistema no corresponde a la rentabilidad real. El análisis identificó tres causas concurrentes.</w:t>
      </w:r>
    </w:p>
    <w:p>
      <w:pPr>
        <w:spacing w:after="100" w:before="240"/>
      </w:pPr>
      <w:r>
        <w:rPr>
          <w:b/>
          <w:bCs/>
          <w:color w:val="000000"/>
          <w:sz w:val="22"/>
          <w:szCs w:val="22"/>
        </w:rPr>
        <w:t xml:space="preserve">Dependencia unidireccional entre porcentaje y precio</w:t>
      </w:r>
    </w:p>
    <w:p>
      <w:pPr>
        <w:spacing w:after="130" w:line="300"/>
        <w:jc w:val="both"/>
      </w:pPr>
      <w:r>
        <w:rPr>
          <w:color w:val="000000"/>
          <w:sz w:val="22"/>
          <w:szCs w:val="22"/>
        </w:rPr>
        <w:t xml:space="preserve">El campo de ganancia opera como dato de entrada y no como indicador calculado. El sistema deriva el precio de venta a partir del costo y del porcentaje ingresado, pero no realiza la operación inversa: un precio modificado manualmente no actualiza el porcentaje y es sobrescrito por el valor derivado al reenfocar el campo. El porcentaje almacenado refleja, por tanto, un objetivo comercial y no el margen efectivo del producto. El comportamiento introduce además un riesgo operacional: los precios fijados según criterio comercial pueden alterarse sin intervención deliberada en cualquier acceso posterior a la ficha.</w:t>
      </w:r>
    </w:p>
    <w:p>
      <w:pPr>
        <w:spacing w:after="100" w:before="240"/>
      </w:pPr>
      <w:r>
        <w:rPr>
          <w:b/>
          <w:bCs/>
          <w:color w:val="000000"/>
          <w:sz w:val="22"/>
          <w:szCs w:val="22"/>
        </w:rPr>
        <w:t xml:space="preserve">Defecto de cálculo en productos a granel</w:t>
      </w:r>
    </w:p>
    <w:p>
      <w:pPr>
        <w:spacing w:after="130" w:line="300"/>
        <w:jc w:val="both"/>
      </w:pPr>
      <w:r>
        <w:rPr>
          <w:color w:val="000000"/>
          <w:sz w:val="22"/>
          <w:szCs w:val="22"/>
        </w:rPr>
        <w:t xml:space="preserve">En los productos vendidos por peso, el sistema registra el margen correspondiente a la unidad completa sin multiplicarlo por la cantidad efectivamente vendida, llegando a declarar hasta un 148,3% de ganancia sobre la venta. La verificación reproduce el cálculo correcto en el 66,9% de las líneas por unidad y solo en el 1,2% de las líneas a granel, lo que confirma que el defecto es sistemático y no un caso aislado. Medido sobre 145 días de operación, el margen real es de 34,0% sobre venta y 51,6% sobre costo, mientras el sistema declara 53,4%.</w:t>
      </w:r>
    </w:p>
    <w:p>
      <w:pPr>
        <w:spacing w:after="100" w:before="240"/>
      </w:pPr>
      <w:r>
        <w:rPr>
          <w:b/>
          <w:bCs/>
          <w:color w:val="000000"/>
          <w:sz w:val="22"/>
          <w:szCs w:val="22"/>
        </w:rPr>
        <w:t xml:space="preserve">Ganancia expresada con impuesto incluido</w:t>
      </w:r>
    </w:p>
    <w:p>
      <w:pPr>
        <w:spacing w:after="130" w:line="300"/>
        <w:jc w:val="both"/>
      </w:pPr>
      <w:r>
        <w:rPr>
          <w:color w:val="000000"/>
          <w:sz w:val="22"/>
          <w:szCs w:val="22"/>
        </w:rPr>
        <w:t xml:space="preserve">El sistema calcula la ganancia como precio menos costo, ambos con IVA incluido. El porcentaje resultante es correcto, pero la ganancia expresada en pesos sobrestima en un 19% la ganancia neta real, porque incorpora un impuesto que el negocio debe enterar. En los productos afectos a impuesto adicional el margen porcentual queda además subestimado, porque el costo carga un tributo que el precio no compensa.</w:t>
      </w:r>
    </w:p>
    <w:p>
      <w:pPr>
        <w:pStyle w:val="Heading2"/>
        <w:spacing w:after="130" w:before="300"/>
      </w:pPr>
      <w:r>
        <w:rPr>
          <w:b/>
          <w:bCs/>
          <w:color w:val="222222"/>
          <w:sz w:val="24"/>
          <w:szCs w:val="24"/>
        </w:rPr>
        <w:t xml:space="preserve">5.4 Confiabilidad de las existencias</w:t>
      </w:r>
    </w:p>
    <w:p>
      <w:pPr>
        <w:spacing w:after="130" w:line="300"/>
        <w:jc w:val="both"/>
      </w:pPr>
      <w:r>
        <w:rPr>
          <w:color w:val="000000"/>
          <w:sz w:val="22"/>
          <w:szCs w:val="22"/>
        </w:rPr>
        <w:t xml:space="preserve">Las propietarias sitúan la confiabilidad del stock entre 3 y 5 en una escala de diez. La causa no es un defecto del software: la descuadratura se origina cuando la mercadería sale del establecimiento por una vía distinta de la venta —vencimientos retirados de sala o pérdidas no registradas— y el sistema no dispone de un procedimiento de ajuste de inventario. Tampoco controla fechas de vencimiento ni emite alertas de existencia mínima, y el establecimiento no realiza inventarios físicos periódicos.</w:t>
      </w:r>
    </w:p>
    <w:p>
      <w:pPr>
        <w:spacing w:after="130" w:line="300"/>
        <w:jc w:val="both"/>
      </w:pPr>
      <w:r>
        <w:rPr>
          <w:color w:val="000000"/>
          <w:sz w:val="22"/>
          <w:szCs w:val="22"/>
        </w:rPr>
        <w:t xml:space="preserve">El análisis del esquema confirmó la ausencia estructural: no existe ningún campo de fecha de vencimiento ni de lote en las 241 columnas de la base. El control es enteramente mental.</w:t>
      </w:r>
    </w:p>
    <w:p>
      <w:pPr>
        <w:pStyle w:val="Heading2"/>
        <w:spacing w:after="130" w:before="300"/>
      </w:pPr>
      <w:r>
        <w:rPr>
          <w:b/>
          <w:bCs/>
          <w:color w:val="222222"/>
          <w:sz w:val="24"/>
          <w:szCs w:val="24"/>
        </w:rPr>
        <w:t xml:space="preserve">5.5 Cierre de caja y conciliación</w:t>
      </w:r>
    </w:p>
    <w:p>
      <w:pPr>
        <w:spacing w:after="130" w:line="300"/>
        <w:jc w:val="both"/>
      </w:pPr>
      <w:r>
        <w:rPr>
          <w:color w:val="000000"/>
          <w:sz w:val="22"/>
          <w:szCs w:val="22"/>
        </w:rPr>
        <w:t xml:space="preserve">La emisión tributaria se resuelve mediante un terminal de pago independiente, certificado ante el Servicio de Impuestos Internos, cuyo monto se digita manualmente. La conciliación entre ambos registros la realiza una de las propietarias todos los días, contrastando los cierres impresos, verificando la comisión descontada y el monto abonado en la cuenta corriente, y registrando el resultado en una planilla.</w:t>
      </w:r>
    </w:p>
    <w:p>
      <w:pPr>
        <w:spacing w:after="130" w:line="300"/>
        <w:jc w:val="both"/>
      </w:pPr>
      <w:r>
        <w:rPr>
          <w:color w:val="000000"/>
          <w:sz w:val="22"/>
          <w:szCs w:val="22"/>
        </w:rPr>
        <w:t xml:space="preserve">El análisis identificó la causa técnica de la descuadratura: el cierre de caja del sistema no incorpora las ventas a crédito, ya que solo suma efectivo y tarjeta. La diferencia contra la venta real coincide exactamente con el crédito del día en 144 de las 145 jornadas del período; la única excepción se explica por un error de digitación identificado.</w:t>
      </w:r>
    </w:p>
    <w:p>
      <w:pPr>
        <w:pStyle w:val="Heading2"/>
        <w:spacing w:after="130" w:before="300"/>
      </w:pPr>
      <w:r>
        <w:rPr>
          <w:b/>
          <w:bCs/>
          <w:color w:val="222222"/>
          <w:sz w:val="24"/>
          <w:szCs w:val="24"/>
        </w:rPr>
        <w:t xml:space="preserve">5.6 Infraestructura</w:t>
      </w:r>
    </w:p>
    <w:p>
      <w:pPr>
        <w:spacing w:after="130" w:line="300"/>
        <w:jc w:val="both"/>
      </w:pPr>
      <w:r>
        <w:rPr>
          <w:color w:val="000000"/>
          <w:sz w:val="22"/>
          <w:szCs w:val="22"/>
        </w:rPr>
        <w:t xml:space="preserve">El establecimiento dispone de un solo computador, con procesador Intel Core i5-3570, 8 GB de memoria y arquitectura de 64 bits, ejecutando Windows 8.1, sistema operativo que no recibe actualizaciones de seguridad desde enero de 2023. Las condiciones de instalación física y eléctrica del equipo presentan deficiencias relevantes, y el respaldo automático que genera el sistema se almacena en el mismo equipo que aloja la base de datos.</w:t>
      </w:r>
    </w:p>
    <w:p>
      <w:pPr>
        <w:spacing w:after="130" w:line="300"/>
        <w:jc w:val="both"/>
      </w:pPr>
      <w:r>
        <w:rPr>
          <w:color w:val="000000"/>
          <w:sz w:val="22"/>
          <w:szCs w:val="22"/>
        </w:rPr>
        <w:t xml:space="preserve">Corresponde precisar que ninguna de las propietarias reportó pérdida de información ni fallas relevantes del software. El riesgo identificado es potencial y no realizado: la totalidad del activo digital del negocio reside en un único equipo cuyo respaldo comparte el mismo soporte de almacenamiento. Un fallo de disco implicaría la pérdida simultánea del sistema y de su copia.</w:t>
      </w:r>
    </w:p>
    <w:p>
      <w:pPr>
        <w:spacing w:after="130" w:line="300"/>
        <w:jc w:val="both"/>
      </w:pPr>
      <w:r>
        <w:rPr>
          <w:color w:val="000000"/>
          <w:sz w:val="22"/>
          <w:szCs w:val="22"/>
        </w:rPr>
        <w:t xml:space="preserve">Ambas propietarias señalaron adicionalmente que los cortes de energía impiden operar. La causa no es la caja registradora en sí, sino que numerosos productos no exhiben el precio en su envase ni en la góndola: sin acceso al sistema, no es posible determinar el monto a cobrar. Esta constatación establece la disponibilidad operativa como requisito no funcional crítico de la solución.</w:t>
      </w:r>
    </w:p>
    <w:p>
      <w:pPr>
        <w:pStyle w:val="Heading1"/>
        <w:spacing w:after="180" w:before="400"/>
      </w:pPr>
      <w:r>
        <w:rPr>
          <w:b/>
          <w:bCs/>
          <w:color w:val="1F3864"/>
          <w:sz w:val="28"/>
          <w:szCs w:val="28"/>
        </w:rPr>
        <w:t xml:space="preserve">6. Objetivos</w:t>
      </w:r>
    </w:p>
    <w:p>
      <w:pPr>
        <w:pStyle w:val="Heading2"/>
        <w:spacing w:after="130" w:before="300"/>
      </w:pPr>
      <w:r>
        <w:rPr>
          <w:b/>
          <w:bCs/>
          <w:color w:val="222222"/>
          <w:sz w:val="24"/>
          <w:szCs w:val="24"/>
        </w:rPr>
        <w:t xml:space="preserve">6.1 Objetivo general</w:t>
      </w:r>
    </w:p>
    <w:p>
      <w:pPr>
        <w:spacing w:after="130" w:line="300"/>
        <w:jc w:val="both"/>
      </w:pPr>
      <w:r>
        <w:rPr>
          <w:color w:val="000000"/>
          <w:sz w:val="22"/>
          <w:szCs w:val="22"/>
        </w:rPr>
        <w:t xml:space="preserve">Desarrollar e implantar una aplicación de escritorio de punto de venta e inventario que sustituya íntegramente el sistema legado de Emporio NaturalSur, garantizando la confiabilidad de la información de existencias, el cálculo correcto de los indicadores de rentabilidad y la continuidad operativa del establecimiento durante y después del proceso de migración.</w:t>
      </w:r>
    </w:p>
    <w:p>
      <w:pPr>
        <w:pStyle w:val="Heading2"/>
        <w:spacing w:after="130" w:before="300"/>
      </w:pPr>
      <w:r>
        <w:rPr>
          <w:b/>
          <w:bCs/>
          <w:color w:val="222222"/>
          <w:sz w:val="24"/>
          <w:szCs w:val="24"/>
        </w:rPr>
        <w:t xml:space="preserve">6.2 Objetivos específicos</w:t>
      </w:r>
    </w:p>
    <w:p>
      <w:pPr>
        <w:spacing w:after="130" w:line="300"/>
        <w:jc w:val="both"/>
      </w:pPr>
      <w:r>
        <w:rPr>
          <w:b/>
          <w:bCs/>
          <w:color w:val="000000"/>
          <w:sz w:val="22"/>
          <w:szCs w:val="22"/>
        </w:rPr>
        <w:t xml:space="preserve">OE1: </w:t>
      </w:r>
      <w:r>
        <w:rPr>
          <w:color w:val="000000"/>
          <w:sz w:val="22"/>
          <w:szCs w:val="22"/>
        </w:rPr>
        <w:t xml:space="preserve">Diagnosticar la situación actual de la gestión comercial del establecimiento, identificando deficiencias de datos y de procesos operativos.</w:t>
      </w:r>
    </w:p>
    <w:p>
      <w:pPr>
        <w:spacing w:after="130" w:line="300"/>
        <w:jc w:val="both"/>
      </w:pPr>
      <w:r>
        <w:rPr>
          <w:b/>
          <w:bCs/>
          <w:color w:val="000000"/>
          <w:sz w:val="22"/>
          <w:szCs w:val="22"/>
        </w:rPr>
        <w:t xml:space="preserve">OE2: </w:t>
      </w:r>
      <w:r>
        <w:rPr>
          <w:color w:val="000000"/>
          <w:sz w:val="22"/>
          <w:szCs w:val="22"/>
        </w:rPr>
        <w:t xml:space="preserve">Levantar y especificar los requerimientos funcionales y no funcionales del sistema, y validarlos con las responsables del negocio.</w:t>
      </w:r>
    </w:p>
    <w:p>
      <w:pPr>
        <w:spacing w:after="130" w:line="300"/>
        <w:jc w:val="both"/>
      </w:pPr>
      <w:r>
        <w:rPr>
          <w:b/>
          <w:bCs/>
          <w:color w:val="000000"/>
          <w:sz w:val="22"/>
          <w:szCs w:val="22"/>
        </w:rPr>
        <w:t xml:space="preserve">OE3: </w:t>
      </w:r>
      <w:r>
        <w:rPr>
          <w:color w:val="000000"/>
          <w:sz w:val="22"/>
          <w:szCs w:val="22"/>
        </w:rPr>
        <w:t xml:space="preserve">Diseñar la arquitectura de la solución y el modelo de datos relacional escalable que soporte la operación comercial del establecimiento.</w:t>
      </w:r>
    </w:p>
    <w:p>
      <w:pPr>
        <w:spacing w:after="130" w:line="300"/>
        <w:jc w:val="both"/>
      </w:pPr>
      <w:r>
        <w:rPr>
          <w:b/>
          <w:bCs/>
          <w:color w:val="000000"/>
          <w:sz w:val="22"/>
          <w:szCs w:val="22"/>
        </w:rPr>
        <w:t xml:space="preserve">OE4: </w:t>
      </w:r>
      <w:r>
        <w:rPr>
          <w:color w:val="000000"/>
          <w:sz w:val="22"/>
          <w:szCs w:val="22"/>
        </w:rPr>
        <w:t xml:space="preserve">Elaborar los diagramas UML que representen el comportamiento y la estructura del sistema.</w:t>
      </w:r>
    </w:p>
    <w:p>
      <w:pPr>
        <w:spacing w:after="130" w:line="300"/>
        <w:jc w:val="both"/>
      </w:pPr>
      <w:r>
        <w:rPr>
          <w:b/>
          <w:bCs/>
          <w:color w:val="000000"/>
          <w:sz w:val="22"/>
          <w:szCs w:val="22"/>
        </w:rPr>
        <w:t xml:space="preserve">OE5: </w:t>
      </w:r>
      <w:r>
        <w:rPr>
          <w:color w:val="000000"/>
          <w:sz w:val="22"/>
          <w:szCs w:val="22"/>
        </w:rPr>
        <w:t xml:space="preserve">Construir el módulo de productos, con separación de bases imponibles e indicadores de margen derivados del precio de venta.</w:t>
      </w:r>
    </w:p>
    <w:p>
      <w:pPr>
        <w:spacing w:after="130" w:line="300"/>
        <w:jc w:val="both"/>
      </w:pPr>
      <w:r>
        <w:rPr>
          <w:b/>
          <w:bCs/>
          <w:color w:val="000000"/>
          <w:sz w:val="22"/>
          <w:szCs w:val="22"/>
        </w:rPr>
        <w:t xml:space="preserve">OE6: </w:t>
      </w:r>
      <w:r>
        <w:rPr>
          <w:color w:val="000000"/>
          <w:sz w:val="22"/>
          <w:szCs w:val="22"/>
        </w:rPr>
        <w:t xml:space="preserve">Construir el módulo de ventas, medios de pago y cierre de caja, con desglose que permita la conciliación con el terminal de pago.</w:t>
      </w:r>
    </w:p>
    <w:p>
      <w:pPr>
        <w:spacing w:after="130" w:line="300"/>
        <w:jc w:val="both"/>
      </w:pPr>
      <w:r>
        <w:rPr>
          <w:b/>
          <w:bCs/>
          <w:color w:val="000000"/>
          <w:sz w:val="22"/>
          <w:szCs w:val="22"/>
        </w:rPr>
        <w:t xml:space="preserve">OE7: </w:t>
      </w:r>
      <w:r>
        <w:rPr>
          <w:color w:val="000000"/>
          <w:sz w:val="22"/>
          <w:szCs w:val="22"/>
        </w:rPr>
        <w:t xml:space="preserve">Construir el módulo de inventario, con lotes, alertas de vencimiento y reposición, y registro de mermas y ajustes.</w:t>
      </w:r>
    </w:p>
    <w:p>
      <w:pPr>
        <w:spacing w:after="130" w:line="300"/>
        <w:jc w:val="both"/>
      </w:pPr>
      <w:r>
        <w:rPr>
          <w:b/>
          <w:bCs/>
          <w:color w:val="000000"/>
          <w:sz w:val="22"/>
          <w:szCs w:val="22"/>
        </w:rPr>
        <w:t xml:space="preserve">OE8: </w:t>
      </w:r>
      <w:r>
        <w:rPr>
          <w:color w:val="000000"/>
          <w:sz w:val="22"/>
          <w:szCs w:val="22"/>
        </w:rPr>
        <w:t xml:space="preserve">Construir el módulo de compras, con registro de facturas de proveedor y actualización de costos y existencias.</w:t>
      </w:r>
    </w:p>
    <w:p>
      <w:pPr>
        <w:spacing w:after="130" w:line="300"/>
        <w:jc w:val="both"/>
      </w:pPr>
      <w:r>
        <w:rPr>
          <w:b/>
          <w:bCs/>
          <w:color w:val="000000"/>
          <w:sz w:val="22"/>
          <w:szCs w:val="22"/>
        </w:rPr>
        <w:t xml:space="preserve">OE9: </w:t>
      </w:r>
      <w:r>
        <w:rPr>
          <w:color w:val="000000"/>
          <w:sz w:val="22"/>
          <w:szCs w:val="22"/>
        </w:rPr>
        <w:t xml:space="preserve">Construir el módulo de cuentas de clientes con crédito y estado de cuenta mensual.</w:t>
      </w:r>
    </w:p>
    <w:p>
      <w:pPr>
        <w:spacing w:after="130" w:line="300"/>
        <w:jc w:val="both"/>
      </w:pPr>
      <w:r>
        <w:rPr>
          <w:b/>
          <w:bCs/>
          <w:color w:val="000000"/>
          <w:sz w:val="22"/>
          <w:szCs w:val="22"/>
        </w:rPr>
        <w:t xml:space="preserve">OE10: </w:t>
      </w:r>
      <w:r>
        <w:rPr>
          <w:color w:val="000000"/>
          <w:sz w:val="22"/>
          <w:szCs w:val="22"/>
        </w:rPr>
        <w:t xml:space="preserve">Implementar la reportería de rentabilidad, rotación y cumplimiento de metas diarias de venta.</w:t>
      </w:r>
    </w:p>
    <w:p>
      <w:pPr>
        <w:spacing w:after="130" w:line="300"/>
        <w:jc w:val="both"/>
      </w:pPr>
      <w:r>
        <w:rPr>
          <w:b/>
          <w:bCs/>
          <w:color w:val="000000"/>
          <w:sz w:val="22"/>
          <w:szCs w:val="22"/>
        </w:rPr>
        <w:t xml:space="preserve">OE11: </w:t>
      </w:r>
      <w:r>
        <w:rPr>
          <w:color w:val="000000"/>
          <w:sz w:val="22"/>
          <w:szCs w:val="22"/>
        </w:rPr>
        <w:t xml:space="preserve">Desarrollar y validar el procedimiento de migración única de datos desde Firebird, con depuración del catálogo, ensayos en entorno virtualizado y procedimiento de reversa.</w:t>
      </w:r>
    </w:p>
    <w:p>
      <w:pPr>
        <w:spacing w:after="130" w:line="300"/>
        <w:jc w:val="both"/>
      </w:pPr>
      <w:r>
        <w:rPr>
          <w:b/>
          <w:bCs/>
          <w:color w:val="000000"/>
          <w:sz w:val="22"/>
          <w:szCs w:val="22"/>
        </w:rPr>
        <w:t xml:space="preserve">OE12: </w:t>
      </w:r>
      <w:r>
        <w:rPr>
          <w:color w:val="000000"/>
          <w:sz w:val="22"/>
          <w:szCs w:val="22"/>
        </w:rPr>
        <w:t xml:space="preserve">Normalizar el catálogo mediante una estructura de categorías y atributos de clasificación.</w:t>
      </w:r>
    </w:p>
    <w:p>
      <w:pPr>
        <w:spacing w:after="130" w:line="300"/>
        <w:jc w:val="both"/>
      </w:pPr>
      <w:r>
        <w:rPr>
          <w:b/>
          <w:bCs/>
          <w:color w:val="000000"/>
          <w:sz w:val="22"/>
          <w:szCs w:val="22"/>
        </w:rPr>
        <w:t xml:space="preserve">OE13: </w:t>
      </w:r>
      <w:r>
        <w:rPr>
          <w:color w:val="000000"/>
          <w:sz w:val="22"/>
          <w:szCs w:val="22"/>
        </w:rPr>
        <w:t xml:space="preserve">Implementar los mecanismos de autenticación, control de acceso por roles y auditoría de cambios.</w:t>
      </w:r>
    </w:p>
    <w:p>
      <w:pPr>
        <w:spacing w:after="130" w:line="300"/>
        <w:jc w:val="both"/>
      </w:pPr>
      <w:r>
        <w:rPr>
          <w:b/>
          <w:bCs/>
          <w:color w:val="000000"/>
          <w:sz w:val="22"/>
          <w:szCs w:val="22"/>
        </w:rPr>
        <w:t xml:space="preserve">OE14: </w:t>
      </w:r>
      <w:r>
        <w:rPr>
          <w:color w:val="000000"/>
          <w:sz w:val="22"/>
          <w:szCs w:val="22"/>
        </w:rPr>
        <w:t xml:space="preserve">Elaborar y ejecutar un plan de pruebas unitarias, de integración, de rendimiento y de seguridad, con evidencia registrada por iteración.</w:t>
      </w:r>
    </w:p>
    <w:p>
      <w:pPr>
        <w:spacing w:after="130" w:line="300"/>
        <w:jc w:val="both"/>
      </w:pPr>
      <w:r>
        <w:rPr>
          <w:b/>
          <w:bCs/>
          <w:color w:val="000000"/>
          <w:sz w:val="22"/>
          <w:szCs w:val="22"/>
        </w:rPr>
        <w:t xml:space="preserve">OE15: </w:t>
      </w:r>
      <w:r>
        <w:rPr>
          <w:color w:val="000000"/>
          <w:sz w:val="22"/>
          <w:szCs w:val="22"/>
        </w:rPr>
        <w:t xml:space="preserve">Implantar la solución en el establecimiento, capacitando a las usuarias y documentando su instalación, configuración y operación.</w:t>
      </w:r>
    </w:p>
    <w:p>
      <w:pPr>
        <w:spacing w:after="130" w:line="300"/>
        <w:jc w:val="both"/>
      </w:pPr>
      <w:r>
        <w:rPr>
          <w:b/>
          <w:bCs/>
          <w:color w:val="000000"/>
          <w:sz w:val="22"/>
          <w:szCs w:val="22"/>
        </w:rPr>
        <w:t xml:space="preserve">Objetivo adicional, sujeto al cumplimiento previo de los anteriores:</w:t>
      </w:r>
    </w:p>
    <w:p>
      <w:pPr>
        <w:spacing w:after="130" w:line="300"/>
        <w:jc w:val="both"/>
      </w:pPr>
      <w:r>
        <w:rPr>
          <w:b/>
          <w:bCs/>
          <w:color w:val="000000"/>
          <w:sz w:val="22"/>
          <w:szCs w:val="22"/>
        </w:rPr>
        <w:t xml:space="preserve">OE16: </w:t>
      </w:r>
      <w:r>
        <w:rPr>
          <w:color w:val="000000"/>
          <w:sz w:val="22"/>
          <w:szCs w:val="22"/>
        </w:rPr>
        <w:t xml:space="preserve">Integrar el sistema desarrollado con el sitio web público existente del establecimiento, habilitando la publicación automática del catálogo.</w:t>
      </w:r>
    </w:p>
    <w:p>
      <w:pPr>
        <w:pStyle w:val="Heading1"/>
        <w:spacing w:after="180" w:before="400"/>
      </w:pPr>
      <w:r>
        <w:rPr>
          <w:b/>
          <w:bCs/>
          <w:color w:val="1F3864"/>
          <w:sz w:val="28"/>
          <w:szCs w:val="28"/>
        </w:rPr>
        <w:t xml:space="preserve">7. Alcance del proyecto</w:t>
      </w:r>
    </w:p>
    <w:p>
      <w:pPr>
        <w:pStyle w:val="Heading2"/>
        <w:spacing w:after="130" w:before="300"/>
      </w:pPr>
      <w:r>
        <w:rPr>
          <w:b/>
          <w:bCs/>
          <w:color w:val="222222"/>
          <w:sz w:val="24"/>
          <w:szCs w:val="24"/>
        </w:rPr>
        <w:t xml:space="preserve">7.1 Funcionalidades incluidas</w:t>
      </w:r>
    </w:p>
    <w:p>
      <w:pPr>
        <w:spacing w:after="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7000"/>
      </w:tblGrid>
      <w:tr>
        <w:trPr>
          <w:tblHeader/>
        </w:trPr>
        <w:tc>
          <w:tcPr>
            <w:tcW w:type="dxa" w:w="1900"/>
            <w:shd w:fill="E8EEF4" w:val="clear"/>
            <w:tcMar>
              <w:top w:type="dxa" w:w="80"/>
              <w:left w:type="dxa" w:w="110"/>
              <w:bottom w:type="dxa" w:w="80"/>
              <w:right w:type="dxa" w:w="110"/>
            </w:tcMar>
            <w:vAlign w:val="top"/>
          </w:tcPr>
          <w:p>
            <w:pPr>
              <w:spacing w:after="0"/>
            </w:pPr>
            <w:r>
              <w:rPr>
                <w:b/>
                <w:bCs/>
                <w:color w:val="000000"/>
                <w:sz w:val="19"/>
                <w:szCs w:val="19"/>
              </w:rPr>
              <w:t xml:space="preserve">Módulo</w:t>
            </w:r>
          </w:p>
        </w:tc>
        <w:tc>
          <w:tcPr>
            <w:tcW w:type="dxa" w:w="7000"/>
            <w:shd w:fill="E8EEF4" w:val="clear"/>
            <w:tcMar>
              <w:top w:type="dxa" w:w="80"/>
              <w:left w:type="dxa" w:w="110"/>
              <w:bottom w:type="dxa" w:w="80"/>
              <w:right w:type="dxa" w:w="110"/>
            </w:tcMar>
            <w:vAlign w:val="top"/>
          </w:tcPr>
          <w:p>
            <w:pPr>
              <w:spacing w:after="0"/>
            </w:pPr>
            <w:r>
              <w:rPr>
                <w:b/>
                <w:bCs/>
                <w:color w:val="000000"/>
                <w:sz w:val="19"/>
                <w:szCs w:val="19"/>
              </w:rPr>
              <w:t xml:space="preserve">Contenido</w:t>
            </w:r>
          </w:p>
        </w:tc>
      </w:tr>
      <w:tr>
        <w:tc>
          <w:tcPr>
            <w:tcW w:type="dxa" w:w="1900"/>
            <w:tcMar>
              <w:top w:type="dxa" w:w="80"/>
              <w:left w:type="dxa" w:w="110"/>
              <w:bottom w:type="dxa" w:w="80"/>
              <w:right w:type="dxa" w:w="110"/>
            </w:tcMar>
            <w:vAlign w:val="top"/>
          </w:tcPr>
          <w:p>
            <w:pPr>
              <w:spacing w:after="0"/>
            </w:pPr>
            <w:r>
              <w:rPr>
                <w:b w:val="false"/>
                <w:bCs w:val="false"/>
                <w:color w:val="000000"/>
                <w:sz w:val="19"/>
                <w:szCs w:val="19"/>
              </w:rPr>
              <w:t xml:space="preserve">Productos</w:t>
            </w:r>
          </w:p>
        </w:tc>
        <w:tc>
          <w:tcPr>
            <w:tcW w:type="dxa" w:w="7000"/>
            <w:tcMar>
              <w:top w:type="dxa" w:w="80"/>
              <w:left w:type="dxa" w:w="110"/>
              <w:bottom w:type="dxa" w:w="80"/>
              <w:right w:type="dxa" w:w="110"/>
            </w:tcMar>
            <w:vAlign w:val="top"/>
          </w:tcPr>
          <w:p>
            <w:pPr>
              <w:spacing w:after="0"/>
            </w:pPr>
            <w:r>
              <w:rPr>
                <w:b w:val="false"/>
                <w:bCs w:val="false"/>
                <w:color w:val="000000"/>
                <w:sz w:val="19"/>
                <w:szCs w:val="19"/>
              </w:rPr>
              <w:t xml:space="preserve">Alta, modificación y baja; venta por unidad y a granel; costo neto e impuestos separados; indicadores de margen y markup diferenciados; historial de cambios de precio; categorización</w:t>
            </w:r>
          </w:p>
        </w:tc>
      </w:tr>
      <w:tr>
        <w:tc>
          <w:tcPr>
            <w:tcW w:type="dxa" w:w="1900"/>
            <w:tcMar>
              <w:top w:type="dxa" w:w="80"/>
              <w:left w:type="dxa" w:w="110"/>
              <w:bottom w:type="dxa" w:w="80"/>
              <w:right w:type="dxa" w:w="110"/>
            </w:tcMar>
            <w:vAlign w:val="top"/>
          </w:tcPr>
          <w:p>
            <w:pPr>
              <w:spacing w:after="0"/>
            </w:pPr>
            <w:r>
              <w:rPr>
                <w:b w:val="false"/>
                <w:bCs w:val="false"/>
                <w:color w:val="000000"/>
                <w:sz w:val="19"/>
                <w:szCs w:val="19"/>
              </w:rPr>
              <w:t xml:space="preserve">Inventario</w:t>
            </w:r>
          </w:p>
        </w:tc>
        <w:tc>
          <w:tcPr>
            <w:tcW w:type="dxa" w:w="7000"/>
            <w:tcMar>
              <w:top w:type="dxa" w:w="80"/>
              <w:left w:type="dxa" w:w="110"/>
              <w:bottom w:type="dxa" w:w="80"/>
              <w:right w:type="dxa" w:w="110"/>
            </w:tcMar>
            <w:vAlign w:val="top"/>
          </w:tcPr>
          <w:p>
            <w:pPr>
              <w:spacing w:after="0"/>
            </w:pPr>
            <w:r>
              <w:rPr>
                <w:b w:val="false"/>
                <w:bCs w:val="false"/>
                <w:color w:val="000000"/>
                <w:sz w:val="19"/>
                <w:szCs w:val="19"/>
              </w:rPr>
              <w:t xml:space="preserve">Control de existencias; lotes con fecha de vencimiento; alerta configurable por producto; registro de mermas y ajustes; alerta de diferencia en conteo</w:t>
            </w:r>
          </w:p>
        </w:tc>
      </w:tr>
      <w:tr>
        <w:tc>
          <w:tcPr>
            <w:tcW w:type="dxa" w:w="1900"/>
            <w:tcMar>
              <w:top w:type="dxa" w:w="80"/>
              <w:left w:type="dxa" w:w="110"/>
              <w:bottom w:type="dxa" w:w="80"/>
              <w:right w:type="dxa" w:w="110"/>
            </w:tcMar>
            <w:vAlign w:val="top"/>
          </w:tcPr>
          <w:p>
            <w:pPr>
              <w:spacing w:after="0"/>
            </w:pPr>
            <w:r>
              <w:rPr>
                <w:b w:val="false"/>
                <w:bCs w:val="false"/>
                <w:color w:val="000000"/>
                <w:sz w:val="19"/>
                <w:szCs w:val="19"/>
              </w:rPr>
              <w:t xml:space="preserve">Ventas</w:t>
            </w:r>
          </w:p>
        </w:tc>
        <w:tc>
          <w:tcPr>
            <w:tcW w:type="dxa" w:w="7000"/>
            <w:tcMar>
              <w:top w:type="dxa" w:w="80"/>
              <w:left w:type="dxa" w:w="110"/>
              <w:bottom w:type="dxa" w:w="80"/>
              <w:right w:type="dxa" w:w="110"/>
            </w:tcMar>
            <w:vAlign w:val="top"/>
          </w:tcPr>
          <w:p>
            <w:pPr>
              <w:spacing w:after="0"/>
            </w:pPr>
            <w:r>
              <w:rPr>
                <w:b w:val="false"/>
                <w:bCs w:val="false"/>
                <w:color w:val="000000"/>
                <w:sz w:val="19"/>
                <w:szCs w:val="19"/>
              </w:rPr>
              <w:t xml:space="preserve">Registro de transacciones; lectura de códigos de barras; búsqueda por nombre; ingreso manual de peso; analizador de códigos con peso embebido; múltiples tickets</w:t>
            </w:r>
          </w:p>
        </w:tc>
      </w:tr>
      <w:tr>
        <w:tc>
          <w:tcPr>
            <w:tcW w:type="dxa" w:w="1900"/>
            <w:tcMar>
              <w:top w:type="dxa" w:w="80"/>
              <w:left w:type="dxa" w:w="110"/>
              <w:bottom w:type="dxa" w:w="80"/>
              <w:right w:type="dxa" w:w="110"/>
            </w:tcMar>
            <w:vAlign w:val="top"/>
          </w:tcPr>
          <w:p>
            <w:pPr>
              <w:spacing w:after="0"/>
            </w:pPr>
            <w:r>
              <w:rPr>
                <w:b w:val="false"/>
                <w:bCs w:val="false"/>
                <w:color w:val="000000"/>
                <w:sz w:val="19"/>
                <w:szCs w:val="19"/>
              </w:rPr>
              <w:t xml:space="preserve">Medios de pago</w:t>
            </w:r>
          </w:p>
        </w:tc>
        <w:tc>
          <w:tcPr>
            <w:tcW w:type="dxa" w:w="7000"/>
            <w:tcMar>
              <w:top w:type="dxa" w:w="80"/>
              <w:left w:type="dxa" w:w="110"/>
              <w:bottom w:type="dxa" w:w="80"/>
              <w:right w:type="dxa" w:w="110"/>
            </w:tcMar>
            <w:vAlign w:val="top"/>
          </w:tcPr>
          <w:p>
            <w:pPr>
              <w:spacing w:after="0"/>
            </w:pPr>
            <w:r>
              <w:rPr>
                <w:b w:val="false"/>
                <w:bCs w:val="false"/>
                <w:color w:val="000000"/>
                <w:sz w:val="19"/>
                <w:szCs w:val="19"/>
              </w:rPr>
              <w:t xml:space="preserve">Efectivo, débito, crédito y transferencia como categorías independientes; redondeo automático en efectivo; cálculo de vuelto; apertura del cajón de dinero</w:t>
            </w:r>
          </w:p>
        </w:tc>
      </w:tr>
      <w:tr>
        <w:tc>
          <w:tcPr>
            <w:tcW w:type="dxa" w:w="1900"/>
            <w:tcMar>
              <w:top w:type="dxa" w:w="80"/>
              <w:left w:type="dxa" w:w="110"/>
              <w:bottom w:type="dxa" w:w="80"/>
              <w:right w:type="dxa" w:w="110"/>
            </w:tcMar>
            <w:vAlign w:val="top"/>
          </w:tcPr>
          <w:p>
            <w:pPr>
              <w:spacing w:after="0"/>
            </w:pPr>
            <w:r>
              <w:rPr>
                <w:b w:val="false"/>
                <w:bCs w:val="false"/>
                <w:color w:val="000000"/>
                <w:sz w:val="19"/>
                <w:szCs w:val="19"/>
              </w:rPr>
              <w:t xml:space="preserve">Caja</w:t>
            </w:r>
          </w:p>
        </w:tc>
        <w:tc>
          <w:tcPr>
            <w:tcW w:type="dxa" w:w="7000"/>
            <w:tcMar>
              <w:top w:type="dxa" w:w="80"/>
              <w:left w:type="dxa" w:w="110"/>
              <w:bottom w:type="dxa" w:w="80"/>
              <w:right w:type="dxa" w:w="110"/>
            </w:tcMar>
            <w:vAlign w:val="top"/>
          </w:tcPr>
          <w:p>
            <w:pPr>
              <w:spacing w:after="0"/>
            </w:pPr>
            <w:r>
              <w:rPr>
                <w:b w:val="false"/>
                <w:bCs w:val="false"/>
                <w:color w:val="000000"/>
                <w:sz w:val="19"/>
                <w:szCs w:val="19"/>
              </w:rPr>
              <w:t xml:space="preserve">Apertura con monto inicial; cierre por jornada; arqueo con desglose por medio de pago; reimpresión del último comprobante</w:t>
            </w:r>
          </w:p>
        </w:tc>
      </w:tr>
      <w:tr>
        <w:tc>
          <w:tcPr>
            <w:tcW w:type="dxa" w:w="1900"/>
            <w:tcMar>
              <w:top w:type="dxa" w:w="80"/>
              <w:left w:type="dxa" w:w="110"/>
              <w:bottom w:type="dxa" w:w="80"/>
              <w:right w:type="dxa" w:w="110"/>
            </w:tcMar>
            <w:vAlign w:val="top"/>
          </w:tcPr>
          <w:p>
            <w:pPr>
              <w:spacing w:after="0"/>
            </w:pPr>
            <w:r>
              <w:rPr>
                <w:b w:val="false"/>
                <w:bCs w:val="false"/>
                <w:color w:val="000000"/>
                <w:sz w:val="19"/>
                <w:szCs w:val="19"/>
              </w:rPr>
              <w:t xml:space="preserve">Compras</w:t>
            </w:r>
          </w:p>
        </w:tc>
        <w:tc>
          <w:tcPr>
            <w:tcW w:type="dxa" w:w="7000"/>
            <w:tcMar>
              <w:top w:type="dxa" w:w="80"/>
              <w:left w:type="dxa" w:w="110"/>
              <w:bottom w:type="dxa" w:w="80"/>
              <w:right w:type="dxa" w:w="110"/>
            </w:tcMar>
            <w:vAlign w:val="top"/>
          </w:tcPr>
          <w:p>
            <w:pPr>
              <w:spacing w:after="0"/>
            </w:pPr>
            <w:r>
              <w:rPr>
                <w:b w:val="false"/>
                <w:bCs w:val="false"/>
                <w:color w:val="000000"/>
                <w:sz w:val="19"/>
                <w:szCs w:val="19"/>
              </w:rPr>
              <w:t xml:space="preserve">Registro de facturas de proveedor; actualización de costos y existencias; trazabilidad de la variación de precio entre compras</w:t>
            </w:r>
          </w:p>
        </w:tc>
      </w:tr>
      <w:tr>
        <w:tc>
          <w:tcPr>
            <w:tcW w:type="dxa" w:w="1900"/>
            <w:tcMar>
              <w:top w:type="dxa" w:w="80"/>
              <w:left w:type="dxa" w:w="110"/>
              <w:bottom w:type="dxa" w:w="80"/>
              <w:right w:type="dxa" w:w="110"/>
            </w:tcMar>
            <w:vAlign w:val="top"/>
          </w:tcPr>
          <w:p>
            <w:pPr>
              <w:spacing w:after="0"/>
            </w:pPr>
            <w:r>
              <w:rPr>
                <w:b w:val="false"/>
                <w:bCs w:val="false"/>
                <w:color w:val="000000"/>
                <w:sz w:val="19"/>
                <w:szCs w:val="19"/>
              </w:rPr>
              <w:t xml:space="preserve">Clientes</w:t>
            </w:r>
          </w:p>
        </w:tc>
        <w:tc>
          <w:tcPr>
            <w:tcW w:type="dxa" w:w="7000"/>
            <w:tcMar>
              <w:top w:type="dxa" w:w="80"/>
              <w:left w:type="dxa" w:w="110"/>
              <w:bottom w:type="dxa" w:w="80"/>
              <w:right w:type="dxa" w:w="110"/>
            </w:tcMar>
            <w:vAlign w:val="top"/>
          </w:tcPr>
          <w:p>
            <w:pPr>
              <w:spacing w:after="0"/>
            </w:pPr>
            <w:r>
              <w:rPr>
                <w:b w:val="false"/>
                <w:bCs w:val="false"/>
                <w:color w:val="000000"/>
                <w:sz w:val="19"/>
                <w:szCs w:val="19"/>
              </w:rPr>
              <w:t xml:space="preserve">Cuentas con crédito; registro de consumos y abonos; estado de cuenta mensual con descuento aplicado</w:t>
            </w:r>
          </w:p>
        </w:tc>
      </w:tr>
      <w:tr>
        <w:tc>
          <w:tcPr>
            <w:tcW w:type="dxa" w:w="1900"/>
            <w:tcMar>
              <w:top w:type="dxa" w:w="80"/>
              <w:left w:type="dxa" w:w="110"/>
              <w:bottom w:type="dxa" w:w="80"/>
              <w:right w:type="dxa" w:w="110"/>
            </w:tcMar>
            <w:vAlign w:val="top"/>
          </w:tcPr>
          <w:p>
            <w:pPr>
              <w:spacing w:after="0"/>
            </w:pPr>
            <w:r>
              <w:rPr>
                <w:b w:val="false"/>
                <w:bCs w:val="false"/>
                <w:color w:val="000000"/>
                <w:sz w:val="19"/>
                <w:szCs w:val="19"/>
              </w:rPr>
              <w:t xml:space="preserve">Usuarios</w:t>
            </w:r>
          </w:p>
        </w:tc>
        <w:tc>
          <w:tcPr>
            <w:tcW w:type="dxa" w:w="7000"/>
            <w:tcMar>
              <w:top w:type="dxa" w:w="80"/>
              <w:left w:type="dxa" w:w="110"/>
              <w:bottom w:type="dxa" w:w="80"/>
              <w:right w:type="dxa" w:w="110"/>
            </w:tcMar>
            <w:vAlign w:val="top"/>
          </w:tcPr>
          <w:p>
            <w:pPr>
              <w:spacing w:after="0"/>
            </w:pPr>
            <w:r>
              <w:rPr>
                <w:b w:val="false"/>
                <w:bCs w:val="false"/>
                <w:color w:val="000000"/>
                <w:sz w:val="19"/>
                <w:szCs w:val="19"/>
              </w:rPr>
              <w:t xml:space="preserve">Perfiles diferenciados de administrador y vendedor; registro de auditoría de cambios</w:t>
            </w:r>
          </w:p>
        </w:tc>
      </w:tr>
      <w:tr>
        <w:tc>
          <w:tcPr>
            <w:tcW w:type="dxa" w:w="1900"/>
            <w:tcMar>
              <w:top w:type="dxa" w:w="80"/>
              <w:left w:type="dxa" w:w="110"/>
              <w:bottom w:type="dxa" w:w="80"/>
              <w:right w:type="dxa" w:w="110"/>
            </w:tcMar>
            <w:vAlign w:val="top"/>
          </w:tcPr>
          <w:p>
            <w:pPr>
              <w:spacing w:after="0"/>
            </w:pPr>
            <w:r>
              <w:rPr>
                <w:b w:val="false"/>
                <w:bCs w:val="false"/>
                <w:color w:val="000000"/>
                <w:sz w:val="19"/>
                <w:szCs w:val="19"/>
              </w:rPr>
              <w:t xml:space="preserve">Reportes</w:t>
            </w:r>
          </w:p>
        </w:tc>
        <w:tc>
          <w:tcPr>
            <w:tcW w:type="dxa" w:w="7000"/>
            <w:tcMar>
              <w:top w:type="dxa" w:w="80"/>
              <w:left w:type="dxa" w:w="110"/>
              <w:bottom w:type="dxa" w:w="80"/>
              <w:right w:type="dxa" w:w="110"/>
            </w:tcMar>
            <w:vAlign w:val="top"/>
          </w:tcPr>
          <w:p>
            <w:pPr>
              <w:spacing w:after="0"/>
            </w:pPr>
            <w:r>
              <w:rPr>
                <w:b w:val="false"/>
                <w:bCs w:val="false"/>
                <w:color w:val="000000"/>
                <w:sz w:val="19"/>
                <w:szCs w:val="19"/>
              </w:rPr>
              <w:t xml:space="preserve">Ventas por período y categoría; rentabilidad y rotación por producto; meta diaria configurable con indicador de cumplimiento</w:t>
            </w:r>
          </w:p>
        </w:tc>
      </w:tr>
      <w:tr>
        <w:tc>
          <w:tcPr>
            <w:tcW w:type="dxa" w:w="1900"/>
            <w:tcMar>
              <w:top w:type="dxa" w:w="80"/>
              <w:left w:type="dxa" w:w="110"/>
              <w:bottom w:type="dxa" w:w="80"/>
              <w:right w:type="dxa" w:w="110"/>
            </w:tcMar>
            <w:vAlign w:val="top"/>
          </w:tcPr>
          <w:p>
            <w:pPr>
              <w:spacing w:after="0"/>
            </w:pPr>
            <w:r>
              <w:rPr>
                <w:b w:val="false"/>
                <w:bCs w:val="false"/>
                <w:color w:val="000000"/>
                <w:sz w:val="19"/>
                <w:szCs w:val="19"/>
              </w:rPr>
              <w:t xml:space="preserve">Migración</w:t>
            </w:r>
          </w:p>
        </w:tc>
        <w:tc>
          <w:tcPr>
            <w:tcW w:type="dxa" w:w="7000"/>
            <w:tcMar>
              <w:top w:type="dxa" w:w="80"/>
              <w:left w:type="dxa" w:w="110"/>
              <w:bottom w:type="dxa" w:w="80"/>
              <w:right w:type="dxa" w:w="110"/>
            </w:tcMar>
            <w:vAlign w:val="top"/>
          </w:tcPr>
          <w:p>
            <w:pPr>
              <w:spacing w:after="0"/>
            </w:pPr>
            <w:r>
              <w:rPr>
                <w:b w:val="false"/>
                <w:bCs w:val="false"/>
                <w:color w:val="000000"/>
                <w:sz w:val="19"/>
                <w:szCs w:val="19"/>
              </w:rPr>
              <w:t xml:space="preserve">Extracción desde Firebird; depuración del catálogo; carga en el motor de destino; procedimiento de reversa verificado</w:t>
            </w:r>
          </w:p>
        </w:tc>
      </w:tr>
    </w:tbl>
    <w:p>
      <w:pPr>
        <w:spacing w:after="200"/>
      </w:pPr>
    </w:p>
    <w:p>
      <w:pPr>
        <w:pStyle w:val="Heading2"/>
        <w:spacing w:after="130" w:before="300"/>
      </w:pPr>
      <w:r>
        <w:rPr>
          <w:b/>
          <w:bCs/>
          <w:color w:val="222222"/>
          <w:sz w:val="24"/>
          <w:szCs w:val="24"/>
        </w:rPr>
        <w:t xml:space="preserve">7.2 Funcionalidades excluidas</w:t>
      </w:r>
    </w:p>
    <w:p>
      <w:pPr>
        <w:spacing w:after="130" w:line="300"/>
        <w:jc w:val="both"/>
      </w:pPr>
      <w:r>
        <w:rPr>
          <w:color w:val="000000"/>
          <w:sz w:val="22"/>
          <w:szCs w:val="22"/>
        </w:rPr>
        <w:t xml:space="preserve">Cada exclusión se fundamenta en información levantada con las propietarias o en restricciones técnicas verificadas.</w:t>
      </w:r>
    </w:p>
    <w:p>
      <w:pPr>
        <w:spacing w:after="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6400"/>
      </w:tblGrid>
      <w:tr>
        <w:trPr>
          <w:tblHeader/>
        </w:trPr>
        <w:tc>
          <w:tcPr>
            <w:tcW w:type="dxa" w:w="2500"/>
            <w:shd w:fill="E8EEF4" w:val="clear"/>
            <w:tcMar>
              <w:top w:type="dxa" w:w="80"/>
              <w:left w:type="dxa" w:w="110"/>
              <w:bottom w:type="dxa" w:w="80"/>
              <w:right w:type="dxa" w:w="110"/>
            </w:tcMar>
            <w:vAlign w:val="top"/>
          </w:tcPr>
          <w:p>
            <w:pPr>
              <w:spacing w:after="0"/>
            </w:pPr>
            <w:r>
              <w:rPr>
                <w:b/>
                <w:bCs/>
                <w:color w:val="000000"/>
                <w:sz w:val="19"/>
                <w:szCs w:val="19"/>
              </w:rPr>
              <w:t xml:space="preserve">Exclusión</w:t>
            </w:r>
          </w:p>
        </w:tc>
        <w:tc>
          <w:tcPr>
            <w:tcW w:type="dxa" w:w="6400"/>
            <w:shd w:fill="E8EEF4" w:val="clear"/>
            <w:tcMar>
              <w:top w:type="dxa" w:w="80"/>
              <w:left w:type="dxa" w:w="110"/>
              <w:bottom w:type="dxa" w:w="80"/>
              <w:right w:type="dxa" w:w="110"/>
            </w:tcMar>
            <w:vAlign w:val="top"/>
          </w:tcPr>
          <w:p>
            <w:pPr>
              <w:spacing w:after="0"/>
            </w:pPr>
            <w:r>
              <w:rPr>
                <w:b/>
                <w:bCs/>
                <w:color w:val="000000"/>
                <w:sz w:val="19"/>
                <w:szCs w:val="19"/>
              </w:rPr>
              <w:t xml:space="preserve">Fundamento</w:t>
            </w:r>
          </w:p>
        </w:tc>
      </w:tr>
      <w:tr>
        <w:tc>
          <w:tcPr>
            <w:tcW w:type="dxa" w:w="2500"/>
            <w:tcMar>
              <w:top w:type="dxa" w:w="80"/>
              <w:left w:type="dxa" w:w="110"/>
              <w:bottom w:type="dxa" w:w="80"/>
              <w:right w:type="dxa" w:w="110"/>
            </w:tcMar>
            <w:vAlign w:val="top"/>
          </w:tcPr>
          <w:p>
            <w:pPr>
              <w:spacing w:after="0"/>
            </w:pPr>
            <w:r>
              <w:rPr>
                <w:b w:val="false"/>
                <w:bCs w:val="false"/>
                <w:color w:val="000000"/>
                <w:sz w:val="19"/>
                <w:szCs w:val="19"/>
              </w:rPr>
              <w:t xml:space="preserve">Emisión de documentos tributarios</w:t>
            </w:r>
          </w:p>
        </w:tc>
        <w:tc>
          <w:tcPr>
            <w:tcW w:type="dxa" w:w="6400"/>
            <w:tcMar>
              <w:top w:type="dxa" w:w="80"/>
              <w:left w:type="dxa" w:w="110"/>
              <w:bottom w:type="dxa" w:w="80"/>
              <w:right w:type="dxa" w:w="110"/>
            </w:tcMar>
            <w:vAlign w:val="top"/>
          </w:tcPr>
          <w:p>
            <w:pPr>
              <w:spacing w:after="0"/>
            </w:pPr>
            <w:r>
              <w:rPr>
                <w:b w:val="false"/>
                <w:bCs w:val="false"/>
                <w:color w:val="000000"/>
                <w:sz w:val="19"/>
                <w:szCs w:val="19"/>
              </w:rPr>
              <w:t xml:space="preserve">Resuelta mediante el terminal de pago certificado ante el SII. El sistema emite un comprobante de detalle sin validez tributaria.</w:t>
            </w:r>
          </w:p>
        </w:tc>
      </w:tr>
      <w:tr>
        <w:tc>
          <w:tcPr>
            <w:tcW w:type="dxa" w:w="2500"/>
            <w:tcMar>
              <w:top w:type="dxa" w:w="80"/>
              <w:left w:type="dxa" w:w="110"/>
              <w:bottom w:type="dxa" w:w="80"/>
              <w:right w:type="dxa" w:w="110"/>
            </w:tcMar>
            <w:vAlign w:val="top"/>
          </w:tcPr>
          <w:p>
            <w:pPr>
              <w:spacing w:after="0"/>
            </w:pPr>
            <w:r>
              <w:rPr>
                <w:b w:val="false"/>
                <w:bCs w:val="false"/>
                <w:color w:val="000000"/>
                <w:sz w:val="19"/>
                <w:szCs w:val="19"/>
              </w:rPr>
              <w:t xml:space="preserve">Integración con el terminal de pago</w:t>
            </w:r>
          </w:p>
        </w:tc>
        <w:tc>
          <w:tcPr>
            <w:tcW w:type="dxa" w:w="6400"/>
            <w:tcMar>
              <w:top w:type="dxa" w:w="80"/>
              <w:left w:type="dxa" w:w="110"/>
              <w:bottom w:type="dxa" w:w="80"/>
              <w:right w:type="dxa" w:w="110"/>
            </w:tcMar>
            <w:vAlign w:val="top"/>
          </w:tcPr>
          <w:p>
            <w:pPr>
              <w:spacing w:after="0"/>
            </w:pPr>
            <w:r>
              <w:rPr>
                <w:b w:val="false"/>
                <w:bCs w:val="false"/>
                <w:color w:val="000000"/>
                <w:sz w:val="19"/>
                <w:szCs w:val="19"/>
              </w:rPr>
              <w:t xml:space="preserve">No solicitada por las propietarias. El terminal opera como canal independiente.</w:t>
            </w:r>
          </w:p>
        </w:tc>
      </w:tr>
      <w:tr>
        <w:tc>
          <w:tcPr>
            <w:tcW w:type="dxa" w:w="2500"/>
            <w:tcMar>
              <w:top w:type="dxa" w:w="80"/>
              <w:left w:type="dxa" w:w="110"/>
              <w:bottom w:type="dxa" w:w="80"/>
              <w:right w:type="dxa" w:w="110"/>
            </w:tcMar>
            <w:vAlign w:val="top"/>
          </w:tcPr>
          <w:p>
            <w:pPr>
              <w:spacing w:after="0"/>
            </w:pPr>
            <w:r>
              <w:rPr>
                <w:b w:val="false"/>
                <w:bCs w:val="false"/>
                <w:color w:val="000000"/>
                <w:sz w:val="19"/>
                <w:szCs w:val="19"/>
              </w:rPr>
              <w:t xml:space="preserve">Integración con la balanza</w:t>
            </w:r>
          </w:p>
        </w:tc>
        <w:tc>
          <w:tcPr>
            <w:tcW w:type="dxa" w:w="6400"/>
            <w:tcMar>
              <w:top w:type="dxa" w:w="80"/>
              <w:left w:type="dxa" w:w="110"/>
              <w:bottom w:type="dxa" w:w="80"/>
              <w:right w:type="dxa" w:w="110"/>
            </w:tcMar>
            <w:vAlign w:val="top"/>
          </w:tcPr>
          <w:p>
            <w:pPr>
              <w:spacing w:after="0"/>
            </w:pPr>
            <w:r>
              <w:rPr>
                <w:b w:val="false"/>
                <w:bCs w:val="false"/>
                <w:color w:val="000000"/>
                <w:sz w:val="19"/>
                <w:szCs w:val="19"/>
              </w:rPr>
              <w:t xml:space="preserve">El equipo instalado no dispone de puerto de comunicación. Se contempla ingreso manual de peso y un analizador de códigos preparado para una eventual balanza etiquetadora.</w:t>
            </w:r>
          </w:p>
        </w:tc>
      </w:tr>
      <w:tr>
        <w:tc>
          <w:tcPr>
            <w:tcW w:type="dxa" w:w="2500"/>
            <w:tcMar>
              <w:top w:type="dxa" w:w="80"/>
              <w:left w:type="dxa" w:w="110"/>
              <w:bottom w:type="dxa" w:w="80"/>
              <w:right w:type="dxa" w:w="110"/>
            </w:tcMar>
            <w:vAlign w:val="top"/>
          </w:tcPr>
          <w:p>
            <w:pPr>
              <w:spacing w:after="0"/>
            </w:pPr>
            <w:r>
              <w:rPr>
                <w:b w:val="false"/>
                <w:bCs w:val="false"/>
                <w:color w:val="000000"/>
                <w:sz w:val="19"/>
                <w:szCs w:val="19"/>
              </w:rPr>
              <w:t xml:space="preserve">Registro de clientes para campañas</w:t>
            </w:r>
          </w:p>
        </w:tc>
        <w:tc>
          <w:tcPr>
            <w:tcW w:type="dxa" w:w="6400"/>
            <w:tcMar>
              <w:top w:type="dxa" w:w="80"/>
              <w:left w:type="dxa" w:w="110"/>
              <w:bottom w:type="dxa" w:w="80"/>
              <w:right w:type="dxa" w:w="110"/>
            </w:tcMar>
            <w:vAlign w:val="top"/>
          </w:tcPr>
          <w:p>
            <w:pPr>
              <w:spacing w:after="0"/>
            </w:pPr>
            <w:r>
              <w:rPr>
                <w:b w:val="false"/>
                <w:bCs w:val="false"/>
                <w:color w:val="000000"/>
                <w:sz w:val="19"/>
                <w:szCs w:val="19"/>
              </w:rPr>
              <w:t xml:space="preserve">Excluido a solicitud expresa de las propietarias por corresponder al ámbito de marketing.</w:t>
            </w:r>
          </w:p>
        </w:tc>
      </w:tr>
      <w:tr>
        <w:tc>
          <w:tcPr>
            <w:tcW w:type="dxa" w:w="2500"/>
            <w:tcMar>
              <w:top w:type="dxa" w:w="80"/>
              <w:left w:type="dxa" w:w="110"/>
              <w:bottom w:type="dxa" w:w="80"/>
              <w:right w:type="dxa" w:w="110"/>
            </w:tcMar>
            <w:vAlign w:val="top"/>
          </w:tcPr>
          <w:p>
            <w:pPr>
              <w:spacing w:after="0"/>
            </w:pPr>
            <w:r>
              <w:rPr>
                <w:b w:val="false"/>
                <w:bCs w:val="false"/>
                <w:color w:val="000000"/>
                <w:sz w:val="19"/>
                <w:szCs w:val="19"/>
              </w:rPr>
              <w:t xml:space="preserve">Precio mayorista y actualización por lote</w:t>
            </w:r>
          </w:p>
        </w:tc>
        <w:tc>
          <w:tcPr>
            <w:tcW w:type="dxa" w:w="6400"/>
            <w:tcMar>
              <w:top w:type="dxa" w:w="80"/>
              <w:left w:type="dxa" w:w="110"/>
              <w:bottom w:type="dxa" w:w="80"/>
              <w:right w:type="dxa" w:w="110"/>
            </w:tcMar>
            <w:vAlign w:val="top"/>
          </w:tcPr>
          <w:p>
            <w:pPr>
              <w:spacing w:after="0"/>
            </w:pPr>
            <w:r>
              <w:rPr>
                <w:b w:val="false"/>
                <w:bCs w:val="false"/>
                <w:color w:val="000000"/>
                <w:sz w:val="19"/>
                <w:szCs w:val="19"/>
              </w:rPr>
              <w:t xml:space="preserve">No utilizados en la operación. Los precios se actualizan producto por producto.</w:t>
            </w:r>
          </w:p>
        </w:tc>
      </w:tr>
      <w:tr>
        <w:tc>
          <w:tcPr>
            <w:tcW w:type="dxa" w:w="2500"/>
            <w:tcMar>
              <w:top w:type="dxa" w:w="80"/>
              <w:left w:type="dxa" w:w="110"/>
              <w:bottom w:type="dxa" w:w="80"/>
              <w:right w:type="dxa" w:w="110"/>
            </w:tcMar>
            <w:vAlign w:val="top"/>
          </w:tcPr>
          <w:p>
            <w:pPr>
              <w:spacing w:after="0"/>
            </w:pPr>
            <w:r>
              <w:rPr>
                <w:b w:val="false"/>
                <w:bCs w:val="false"/>
                <w:color w:val="000000"/>
                <w:sz w:val="19"/>
                <w:szCs w:val="19"/>
              </w:rPr>
              <w:t xml:space="preserve">Operación multiequipo simultánea</w:t>
            </w:r>
          </w:p>
        </w:tc>
        <w:tc>
          <w:tcPr>
            <w:tcW w:type="dxa" w:w="6400"/>
            <w:tcMar>
              <w:top w:type="dxa" w:w="80"/>
              <w:left w:type="dxa" w:w="110"/>
              <w:bottom w:type="dxa" w:w="80"/>
              <w:right w:type="dxa" w:w="110"/>
            </w:tcMar>
            <w:vAlign w:val="top"/>
          </w:tcPr>
          <w:p>
            <w:pPr>
              <w:spacing w:after="0"/>
            </w:pPr>
            <w:r>
              <w:rPr>
                <w:b w:val="false"/>
                <w:bCs w:val="false"/>
                <w:color w:val="000000"/>
                <w:sz w:val="19"/>
                <w:szCs w:val="19"/>
              </w:rPr>
              <w:t xml:space="preserve">El establecimiento dispone de un solo computador. La operación en paralelo durante la marcha blanca es transitoria y de verificación.</w:t>
            </w:r>
          </w:p>
        </w:tc>
      </w:tr>
      <w:tr>
        <w:tc>
          <w:tcPr>
            <w:tcW w:type="dxa" w:w="2500"/>
            <w:tcMar>
              <w:top w:type="dxa" w:w="80"/>
              <w:left w:type="dxa" w:w="110"/>
              <w:bottom w:type="dxa" w:w="80"/>
              <w:right w:type="dxa" w:w="110"/>
            </w:tcMar>
            <w:vAlign w:val="top"/>
          </w:tcPr>
          <w:p>
            <w:pPr>
              <w:spacing w:after="0"/>
            </w:pPr>
            <w:r>
              <w:rPr>
                <w:b w:val="false"/>
                <w:bCs w:val="false"/>
                <w:color w:val="000000"/>
                <w:sz w:val="19"/>
                <w:szCs w:val="19"/>
              </w:rPr>
              <w:t xml:space="preserve">Registro de gastos generales del local</w:t>
            </w:r>
          </w:p>
        </w:tc>
        <w:tc>
          <w:tcPr>
            <w:tcW w:type="dxa" w:w="6400"/>
            <w:tcMar>
              <w:top w:type="dxa" w:w="80"/>
              <w:left w:type="dxa" w:w="110"/>
              <w:bottom w:type="dxa" w:w="80"/>
              <w:right w:type="dxa" w:w="110"/>
            </w:tcMar>
            <w:vAlign w:val="top"/>
          </w:tcPr>
          <w:p>
            <w:pPr>
              <w:spacing w:after="0"/>
            </w:pPr>
            <w:r>
              <w:rPr>
                <w:b w:val="false"/>
                <w:bCs w:val="false"/>
                <w:color w:val="000000"/>
                <w:sz w:val="19"/>
                <w:szCs w:val="19"/>
              </w:rPr>
              <w:t xml:space="preserve">Excluido a solicitud de la propietaria a cargo de compras y precios. La meta diaria configurable cumple la función sin requerir el registro de costos fijos.</w:t>
            </w:r>
          </w:p>
        </w:tc>
      </w:tr>
    </w:tbl>
    <w:p>
      <w:pPr>
        <w:spacing w:after="200"/>
      </w:pPr>
    </w:p>
    <w:p>
      <w:pPr>
        <w:pStyle w:val="Heading2"/>
        <w:spacing w:after="130" w:before="300"/>
      </w:pPr>
      <w:r>
        <w:rPr>
          <w:b/>
          <w:bCs/>
          <w:color w:val="222222"/>
          <w:sz w:val="24"/>
          <w:szCs w:val="24"/>
        </w:rPr>
        <w:t xml:space="preserve">7.3 Alcance de la migración</w:t>
      </w:r>
    </w:p>
    <w:p>
      <w:pPr>
        <w:spacing w:after="130" w:line="300"/>
        <w:jc w:val="both"/>
      </w:pPr>
      <w:r>
        <w:rPr>
          <w:color w:val="000000"/>
          <w:sz w:val="22"/>
          <w:szCs w:val="22"/>
        </w:rPr>
        <w:t xml:space="preserve">Se ejecutará una migración única, sin convivencia permanente entre sistemas. La carga inicial comprenderá los 1.135 productos con venta registrada desde el traspaso del negocio, marcando como inactivos los que no presenten rotación en más de noventa días, junto con las cuentas de clientes con crédito y sus saldos. El historial de ventas correspondiente a la administración anterior no será migrado: quedará como archivo de solo lectura. El campo de porcentaje de ganancia tampoco se migra, dado que no describe los precios vigentes.</w:t>
      </w:r>
    </w:p>
    <w:p>
      <w:pPr>
        <w:spacing w:after="130" w:line="300"/>
        <w:jc w:val="both"/>
      </w:pPr>
      <w:r>
        <w:rPr>
          <w:color w:val="000000"/>
          <w:sz w:val="22"/>
          <w:szCs w:val="22"/>
        </w:rPr>
        <w:t xml:space="preserve">El respaldo del sistema legado se conservará íntegro como procedimiento de reversa, que se probará mediante una restauración real y no solo se declarará. La migración será ensayada en repetidas ocasiones sobre una máquina virtual que replica el equipo del establecimiento.</w:t>
      </w:r>
    </w:p>
    <w:p>
      <w:pPr>
        <w:pStyle w:val="Heading1"/>
        <w:spacing w:after="180" w:before="400"/>
      </w:pPr>
      <w:r>
        <w:rPr>
          <w:b/>
          <w:bCs/>
          <w:color w:val="1F3864"/>
          <w:sz w:val="28"/>
          <w:szCs w:val="28"/>
        </w:rPr>
        <w:t xml:space="preserve">8. Factibilidad</w:t>
      </w:r>
    </w:p>
    <w:p>
      <w:pPr>
        <w:pStyle w:val="Heading2"/>
        <w:spacing w:after="130" w:before="300"/>
      </w:pPr>
      <w:r>
        <w:rPr>
          <w:b/>
          <w:bCs/>
          <w:color w:val="222222"/>
          <w:sz w:val="24"/>
          <w:szCs w:val="24"/>
        </w:rPr>
        <w:t xml:space="preserve">8.1 Factibilidad técnica</w:t>
      </w:r>
    </w:p>
    <w:p>
      <w:pPr>
        <w:spacing w:after="130" w:line="300"/>
        <w:jc w:val="both"/>
      </w:pPr>
      <w:r>
        <w:rPr>
          <w:color w:val="000000"/>
          <w:sz w:val="22"/>
          <w:szCs w:val="22"/>
        </w:rPr>
        <w:t xml:space="preserve">El volumen de información es reducido: alrededor de 600 productos con rotación real y un promedio de 32 transacciones diarias. No existen requerimientos de concurrencia elevada ni de procesamiento intensivo. Los periféricos instalados operan bajo protocolos estándar de amplia compatibilidad. El equipo del establecimiento dispone de capacidad de procesamiento y memoria suficientes; la restricción relevante es el sistema operativo, que condicionó la selección de la plataforma de desarrollo y quedó resuelta según se detalla en la sección 10.</w:t>
      </w:r>
    </w:p>
    <w:p>
      <w:pPr>
        <w:pStyle w:val="Heading2"/>
        <w:spacing w:after="130" w:before="300"/>
      </w:pPr>
      <w:r>
        <w:rPr>
          <w:b/>
          <w:bCs/>
          <w:color w:val="222222"/>
          <w:sz w:val="24"/>
          <w:szCs w:val="24"/>
        </w:rPr>
        <w:t xml:space="preserve">8.2 Factibilidad temporal</w:t>
      </w:r>
    </w:p>
    <w:p>
      <w:pPr>
        <w:spacing w:after="130" w:line="300"/>
        <w:jc w:val="both"/>
      </w:pPr>
      <w:r>
        <w:rPr>
          <w:color w:val="000000"/>
          <w:sz w:val="22"/>
          <w:szCs w:val="22"/>
        </w:rPr>
        <w:t xml:space="preserve">El proyecto se desarrolla en dieciocho semanas. El desarrollo concluye en la semana 13, la implantación se ejecuta entre las semanas 13 y 15, y se dispone de un margen de dos a tres semanas de operación en producción previo a la presentación final. La planificación incorpora un hito de decisión en la semana 12: si el desarrollo no ha alcanzado el estado previsto, la implantación se pospone y la presentación se realiza en entorno de demostración. Este criterio evita el escenario de una implantación incompleta coincidente con la evaluación final.</w:t>
      </w:r>
    </w:p>
    <w:p>
      <w:pPr>
        <w:pStyle w:val="Heading2"/>
        <w:spacing w:after="130" w:before="300"/>
      </w:pPr>
      <w:r>
        <w:rPr>
          <w:b/>
          <w:bCs/>
          <w:color w:val="222222"/>
          <w:sz w:val="24"/>
          <w:szCs w:val="24"/>
        </w:rPr>
        <w:t xml:space="preserve">8.3 Factibilidad operativa</w:t>
      </w:r>
    </w:p>
    <w:p>
      <w:pPr>
        <w:spacing w:after="130" w:line="300"/>
        <w:jc w:val="both"/>
      </w:pPr>
      <w:r>
        <w:rPr>
          <w:color w:val="000000"/>
          <w:sz w:val="22"/>
          <w:szCs w:val="22"/>
        </w:rPr>
        <w:t xml:space="preserve">Ambas propietarias manifestaron disponibilidad para participar en las pruebas y la capacitación, señalando que al ser dos personas pueden alternarse durante la jornada, y no impusieron restricciones de fecha para la puesta en marcha. El equipo dispone de acceso directo y permanente al establecimiento, a su base de datos y a sus usuarias, lo que constituye un facilitador significativo para el levantamiento y la validación.</w:t>
      </w:r>
    </w:p>
    <w:p>
      <w:pPr>
        <w:pStyle w:val="Heading2"/>
        <w:spacing w:after="130" w:before="300"/>
      </w:pPr>
      <w:r>
        <w:rPr>
          <w:b/>
          <w:bCs/>
          <w:color w:val="222222"/>
          <w:sz w:val="24"/>
          <w:szCs w:val="24"/>
        </w:rPr>
        <w:t xml:space="preserve">8.4 Facilitadores</w:t>
      </w:r>
    </w:p>
    <w:p>
      <w:pPr>
        <w:pStyle w:val="ListParagraph"/>
        <w:numPr>
          <w:ilvl w:val="0"/>
          <w:numId w:val="1"/>
        </w:numPr>
        <w:spacing w:after="130" w:line="300"/>
        <w:jc w:val="both"/>
      </w:pPr>
      <w:r>
        <w:rPr>
          <w:color w:val="000000"/>
          <w:sz w:val="22"/>
          <w:szCs w:val="22"/>
        </w:rPr>
        <w:t xml:space="preserve">Acceso directo a las usuarias finales, con disponibilidad declarada para entrevistas, validaciones y capacitación.</w:t>
      </w:r>
    </w:p>
    <w:p>
      <w:pPr>
        <w:pStyle w:val="ListParagraph"/>
        <w:numPr>
          <w:ilvl w:val="0"/>
          <w:numId w:val="1"/>
        </w:numPr>
        <w:spacing w:after="130" w:line="300"/>
        <w:jc w:val="both"/>
      </w:pPr>
      <w:r>
        <w:rPr>
          <w:color w:val="000000"/>
          <w:sz w:val="22"/>
          <w:szCs w:val="22"/>
        </w:rPr>
        <w:t xml:space="preserve">Entorno de análisis ya construido: máquina virtual que replica el equipo del local, con la base de datos restaurada y consultable.</w:t>
      </w:r>
    </w:p>
    <w:p>
      <w:pPr>
        <w:pStyle w:val="ListParagraph"/>
        <w:numPr>
          <w:ilvl w:val="0"/>
          <w:numId w:val="1"/>
        </w:numPr>
        <w:spacing w:after="130" w:line="300"/>
        <w:jc w:val="both"/>
      </w:pPr>
      <w:r>
        <w:rPr>
          <w:color w:val="000000"/>
          <w:sz w:val="22"/>
          <w:szCs w:val="22"/>
        </w:rPr>
        <w:t xml:space="preserve">Capacidad de extracción validada de extremo a extremo sobre el volumen completo de registros.</w:t>
      </w:r>
    </w:p>
    <w:p>
      <w:pPr>
        <w:pStyle w:val="ListParagraph"/>
        <w:numPr>
          <w:ilvl w:val="0"/>
          <w:numId w:val="1"/>
        </w:numPr>
        <w:spacing w:after="130" w:line="300"/>
        <w:jc w:val="both"/>
      </w:pPr>
      <w:r>
        <w:rPr>
          <w:color w:val="000000"/>
          <w:sz w:val="22"/>
          <w:szCs w:val="22"/>
        </w:rPr>
        <w:t xml:space="preserve">Avance de desarrollo verificable: arquitectura por capas implementada, espejo local con cola de sincronización y 47 pruebas automatizadas en estado satisfactorio.</w:t>
      </w:r>
    </w:p>
    <w:p>
      <w:pPr>
        <w:pStyle w:val="ListParagraph"/>
        <w:numPr>
          <w:ilvl w:val="0"/>
          <w:numId w:val="1"/>
        </w:numPr>
        <w:spacing w:after="130" w:line="300"/>
        <w:jc w:val="both"/>
      </w:pPr>
      <w:r>
        <w:rPr>
          <w:color w:val="000000"/>
          <w:sz w:val="22"/>
          <w:szCs w:val="22"/>
        </w:rPr>
        <w:t xml:space="preserve">Emisión tributaria resuelta externamente, lo que excluye del alcance un componente de alta complejidad normativa.</w:t>
      </w:r>
    </w:p>
    <w:p>
      <w:pPr>
        <w:pStyle w:val="ListParagraph"/>
        <w:numPr>
          <w:ilvl w:val="0"/>
          <w:numId w:val="1"/>
        </w:numPr>
        <w:spacing w:after="130" w:line="300"/>
        <w:jc w:val="both"/>
      </w:pPr>
      <w:r>
        <w:rPr>
          <w:color w:val="000000"/>
          <w:sz w:val="22"/>
          <w:szCs w:val="22"/>
        </w:rPr>
        <w:t xml:space="preserve">Exención documentada del requisito de despliegue containerizado, autorizada por la docente guía y sustituida por mecanismos equivalentes de portabilidad.</w:t>
      </w:r>
    </w:p>
    <w:p>
      <w:pPr>
        <w:pStyle w:val="Heading2"/>
        <w:spacing w:after="130" w:before="300"/>
      </w:pPr>
      <w:r>
        <w:rPr>
          <w:b/>
          <w:bCs/>
          <w:color w:val="222222"/>
          <w:sz w:val="24"/>
          <w:szCs w:val="24"/>
        </w:rPr>
        <w:t xml:space="preserve">8.5 Obstaculizadores y estrategias de mitigación</w:t>
      </w:r>
    </w:p>
    <w:p>
      <w:pPr>
        <w:spacing w:after="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6200"/>
      </w:tblGrid>
      <w:tr>
        <w:trPr>
          <w:tblHeader/>
        </w:trPr>
        <w:tc>
          <w:tcPr>
            <w:tcW w:type="dxa" w:w="2700"/>
            <w:shd w:fill="E8EEF4" w:val="clear"/>
            <w:tcMar>
              <w:top w:type="dxa" w:w="80"/>
              <w:left w:type="dxa" w:w="110"/>
              <w:bottom w:type="dxa" w:w="80"/>
              <w:right w:type="dxa" w:w="110"/>
            </w:tcMar>
            <w:vAlign w:val="top"/>
          </w:tcPr>
          <w:p>
            <w:pPr>
              <w:spacing w:after="0"/>
            </w:pPr>
            <w:r>
              <w:rPr>
                <w:b/>
                <w:bCs/>
                <w:color w:val="000000"/>
                <w:sz w:val="19"/>
                <w:szCs w:val="19"/>
              </w:rPr>
              <w:t xml:space="preserve">Obstaculizador</w:t>
            </w:r>
          </w:p>
        </w:tc>
        <w:tc>
          <w:tcPr>
            <w:tcW w:type="dxa" w:w="6200"/>
            <w:shd w:fill="E8EEF4" w:val="clear"/>
            <w:tcMar>
              <w:top w:type="dxa" w:w="80"/>
              <w:left w:type="dxa" w:w="110"/>
              <w:bottom w:type="dxa" w:w="80"/>
              <w:right w:type="dxa" w:w="110"/>
            </w:tcMar>
            <w:vAlign w:val="top"/>
          </w:tcPr>
          <w:p>
            <w:pPr>
              <w:spacing w:after="0"/>
            </w:pPr>
            <w:r>
              <w:rPr>
                <w:b/>
                <w:bCs/>
                <w:color w:val="000000"/>
                <w:sz w:val="19"/>
                <w:szCs w:val="19"/>
              </w:rPr>
              <w:t xml:space="preserve">Estrategia de mitigación</w:t>
            </w:r>
          </w:p>
        </w:tc>
      </w:tr>
      <w:tr>
        <w:tc>
          <w:tcPr>
            <w:tcW w:type="dxa" w:w="2700"/>
            <w:tcMar>
              <w:top w:type="dxa" w:w="80"/>
              <w:left w:type="dxa" w:w="110"/>
              <w:bottom w:type="dxa" w:w="80"/>
              <w:right w:type="dxa" w:w="110"/>
            </w:tcMar>
            <w:vAlign w:val="top"/>
          </w:tcPr>
          <w:p>
            <w:pPr>
              <w:spacing w:after="0"/>
            </w:pPr>
            <w:r>
              <w:rPr>
                <w:b w:val="false"/>
                <w:bCs w:val="false"/>
                <w:color w:val="000000"/>
                <w:sz w:val="19"/>
                <w:szCs w:val="19"/>
              </w:rPr>
              <w:t xml:space="preserve">Riesgo de intervenir el sistema en producción</w:t>
            </w:r>
          </w:p>
        </w:tc>
        <w:tc>
          <w:tcPr>
            <w:tcW w:type="dxa" w:w="6200"/>
            <w:tcMar>
              <w:top w:type="dxa" w:w="80"/>
              <w:left w:type="dxa" w:w="110"/>
              <w:bottom w:type="dxa" w:w="80"/>
              <w:right w:type="dxa" w:w="110"/>
            </w:tcMar>
            <w:vAlign w:val="top"/>
          </w:tcPr>
          <w:p>
            <w:pPr>
              <w:spacing w:after="0"/>
            </w:pPr>
            <w:r>
              <w:rPr>
                <w:b w:val="false"/>
                <w:bCs w:val="false"/>
                <w:color w:val="000000"/>
                <w:sz w:val="19"/>
                <w:szCs w:val="19"/>
              </w:rPr>
              <w:t xml:space="preserve">Trabajo sobre la máquina virtual que replica el equipo del local, sin exponer el sistema que la tienda utiliza para vender.</w:t>
            </w:r>
          </w:p>
        </w:tc>
      </w:tr>
      <w:tr>
        <w:tc>
          <w:tcPr>
            <w:tcW w:type="dxa" w:w="2700"/>
            <w:tcMar>
              <w:top w:type="dxa" w:w="80"/>
              <w:left w:type="dxa" w:w="110"/>
              <w:bottom w:type="dxa" w:w="80"/>
              <w:right w:type="dxa" w:w="110"/>
            </w:tcMar>
            <w:vAlign w:val="top"/>
          </w:tcPr>
          <w:p>
            <w:pPr>
              <w:spacing w:after="0"/>
            </w:pPr>
            <w:r>
              <w:rPr>
                <w:b w:val="false"/>
                <w:bCs w:val="false"/>
                <w:color w:val="000000"/>
                <w:sz w:val="19"/>
                <w:szCs w:val="19"/>
              </w:rPr>
              <w:t xml:space="preserve">Restricción de conexión única y obsolescencia del motor Firebird</w:t>
            </w:r>
          </w:p>
        </w:tc>
        <w:tc>
          <w:tcPr>
            <w:tcW w:type="dxa" w:w="6200"/>
            <w:tcMar>
              <w:top w:type="dxa" w:w="80"/>
              <w:left w:type="dxa" w:w="110"/>
              <w:bottom w:type="dxa" w:w="80"/>
              <w:right w:type="dxa" w:w="110"/>
            </w:tcMar>
            <w:vAlign w:val="top"/>
          </w:tcPr>
          <w:p>
            <w:pPr>
              <w:spacing w:after="0"/>
            </w:pPr>
            <w:r>
              <w:rPr>
                <w:b w:val="false"/>
                <w:bCs w:val="false"/>
                <w:color w:val="000000"/>
                <w:sz w:val="19"/>
                <w:szCs w:val="19"/>
              </w:rPr>
              <w:t xml:space="preserve">Copia previa del archivo de base de datos y uso de herramientas nativas del motor para la extracción, evitando controladores incompatibles.</w:t>
            </w:r>
          </w:p>
        </w:tc>
      </w:tr>
      <w:tr>
        <w:tc>
          <w:tcPr>
            <w:tcW w:type="dxa" w:w="2700"/>
            <w:tcMar>
              <w:top w:type="dxa" w:w="80"/>
              <w:left w:type="dxa" w:w="110"/>
              <w:bottom w:type="dxa" w:w="80"/>
              <w:right w:type="dxa" w:w="110"/>
            </w:tcMar>
            <w:vAlign w:val="top"/>
          </w:tcPr>
          <w:p>
            <w:pPr>
              <w:spacing w:after="0"/>
            </w:pPr>
            <w:r>
              <w:rPr>
                <w:b w:val="false"/>
                <w:bCs w:val="false"/>
                <w:color w:val="000000"/>
                <w:sz w:val="19"/>
                <w:szCs w:val="19"/>
              </w:rPr>
              <w:t xml:space="preserve">Sistema operativo sin soporte de seguridad</w:t>
            </w:r>
          </w:p>
        </w:tc>
        <w:tc>
          <w:tcPr>
            <w:tcW w:type="dxa" w:w="6200"/>
            <w:tcMar>
              <w:top w:type="dxa" w:w="80"/>
              <w:left w:type="dxa" w:w="110"/>
              <w:bottom w:type="dxa" w:w="80"/>
              <w:right w:type="dxa" w:w="110"/>
            </w:tcMar>
            <w:vAlign w:val="top"/>
          </w:tcPr>
          <w:p>
            <w:pPr>
              <w:spacing w:after="0"/>
            </w:pPr>
            <w:r>
              <w:rPr>
                <w:b w:val="false"/>
                <w:bCs w:val="false"/>
                <w:color w:val="000000"/>
                <w:sz w:val="19"/>
                <w:szCs w:val="19"/>
              </w:rPr>
              <w:t xml:space="preserve">Verificación de la compatibilidad declarada de la plataforma antes de seleccionarla, y presentación a las propietarias de la alternativa de actualizar el equipo.</w:t>
            </w:r>
          </w:p>
        </w:tc>
      </w:tr>
      <w:tr>
        <w:tc>
          <w:tcPr>
            <w:tcW w:type="dxa" w:w="2700"/>
            <w:tcMar>
              <w:top w:type="dxa" w:w="80"/>
              <w:left w:type="dxa" w:w="110"/>
              <w:bottom w:type="dxa" w:w="80"/>
              <w:right w:type="dxa" w:w="110"/>
            </w:tcMar>
            <w:vAlign w:val="top"/>
          </w:tcPr>
          <w:p>
            <w:pPr>
              <w:spacing w:after="0"/>
            </w:pPr>
            <w:r>
              <w:rPr>
                <w:b w:val="false"/>
                <w:bCs w:val="false"/>
                <w:color w:val="000000"/>
                <w:sz w:val="19"/>
                <w:szCs w:val="19"/>
              </w:rPr>
              <w:t xml:space="preserve">Riesgo asociado a la migración de datos</w:t>
            </w:r>
          </w:p>
        </w:tc>
        <w:tc>
          <w:tcPr>
            <w:tcW w:type="dxa" w:w="6200"/>
            <w:tcMar>
              <w:top w:type="dxa" w:w="80"/>
              <w:left w:type="dxa" w:w="110"/>
              <w:bottom w:type="dxa" w:w="80"/>
              <w:right w:type="dxa" w:w="110"/>
            </w:tcMar>
            <w:vAlign w:val="top"/>
          </w:tcPr>
          <w:p>
            <w:pPr>
              <w:spacing w:after="0"/>
            </w:pPr>
            <w:r>
              <w:rPr>
                <w:b w:val="false"/>
                <w:bCs w:val="false"/>
                <w:color w:val="000000"/>
                <w:sz w:val="19"/>
                <w:szCs w:val="19"/>
              </w:rPr>
              <w:t xml:space="preserve">Ensayos repetidos en máquina virtual, marcha blanca supervisada con comparación diaria de cierres, respaldo legado como reversa y hito de decisión en la semana 12.</w:t>
            </w:r>
          </w:p>
        </w:tc>
      </w:tr>
      <w:tr>
        <w:tc>
          <w:tcPr>
            <w:tcW w:type="dxa" w:w="2700"/>
            <w:tcMar>
              <w:top w:type="dxa" w:w="80"/>
              <w:left w:type="dxa" w:w="110"/>
              <w:bottom w:type="dxa" w:w="80"/>
              <w:right w:type="dxa" w:w="110"/>
            </w:tcMar>
            <w:vAlign w:val="top"/>
          </w:tcPr>
          <w:p>
            <w:pPr>
              <w:spacing w:after="0"/>
            </w:pPr>
            <w:r>
              <w:rPr>
                <w:b w:val="false"/>
                <w:bCs w:val="false"/>
                <w:color w:val="000000"/>
                <w:sz w:val="19"/>
                <w:szCs w:val="19"/>
              </w:rPr>
              <w:t xml:space="preserve">Calidad de los datos peor a la estimada</w:t>
            </w:r>
          </w:p>
        </w:tc>
        <w:tc>
          <w:tcPr>
            <w:tcW w:type="dxa" w:w="6200"/>
            <w:tcMar>
              <w:top w:type="dxa" w:w="80"/>
              <w:left w:type="dxa" w:w="110"/>
              <w:bottom w:type="dxa" w:w="80"/>
              <w:right w:type="dxa" w:w="110"/>
            </w:tcMar>
            <w:vAlign w:val="top"/>
          </w:tcPr>
          <w:p>
            <w:pPr>
              <w:spacing w:after="0"/>
            </w:pPr>
            <w:r>
              <w:rPr>
                <w:b w:val="false"/>
                <w:bCs w:val="false"/>
                <w:color w:val="000000"/>
                <w:sz w:val="19"/>
                <w:szCs w:val="19"/>
              </w:rPr>
              <w:t xml:space="preserve">Registro de errores y revisión manual previa a la publicación; depuración del catálogo iniciada de forma anticipada y en paralelo al desarrollo.</w:t>
            </w:r>
          </w:p>
        </w:tc>
      </w:tr>
      <w:tr>
        <w:tc>
          <w:tcPr>
            <w:tcW w:type="dxa" w:w="2700"/>
            <w:tcMar>
              <w:top w:type="dxa" w:w="80"/>
              <w:left w:type="dxa" w:w="110"/>
              <w:bottom w:type="dxa" w:w="80"/>
              <w:right w:type="dxa" w:w="110"/>
            </w:tcMar>
            <w:vAlign w:val="top"/>
          </w:tcPr>
          <w:p>
            <w:pPr>
              <w:spacing w:after="0"/>
            </w:pPr>
            <w:r>
              <w:rPr>
                <w:b w:val="false"/>
                <w:bCs w:val="false"/>
                <w:color w:val="000000"/>
                <w:sz w:val="19"/>
                <w:szCs w:val="19"/>
              </w:rPr>
              <w:t xml:space="preserve">Criterios divergentes entre las propietarias</w:t>
            </w:r>
          </w:p>
        </w:tc>
        <w:tc>
          <w:tcPr>
            <w:tcW w:type="dxa" w:w="6200"/>
            <w:tcMar>
              <w:top w:type="dxa" w:w="80"/>
              <w:left w:type="dxa" w:w="110"/>
              <w:bottom w:type="dxa" w:w="80"/>
              <w:right w:type="dxa" w:w="110"/>
            </w:tcMar>
            <w:vAlign w:val="top"/>
          </w:tcPr>
          <w:p>
            <w:pPr>
              <w:spacing w:after="0"/>
            </w:pPr>
            <w:r>
              <w:rPr>
                <w:b w:val="false"/>
                <w:bCs w:val="false"/>
                <w:color w:val="000000"/>
                <w:sz w:val="19"/>
                <w:szCs w:val="19"/>
              </w:rPr>
              <w:t xml:space="preserve">Registro documentado de cada divergencia y resolución conjunta previa al cierre del alcance.</w:t>
            </w:r>
          </w:p>
        </w:tc>
      </w:tr>
      <w:tr>
        <w:tc>
          <w:tcPr>
            <w:tcW w:type="dxa" w:w="2700"/>
            <w:tcMar>
              <w:top w:type="dxa" w:w="80"/>
              <w:left w:type="dxa" w:w="110"/>
              <w:bottom w:type="dxa" w:w="80"/>
              <w:right w:type="dxa" w:w="110"/>
            </w:tcMar>
            <w:vAlign w:val="top"/>
          </w:tcPr>
          <w:p>
            <w:pPr>
              <w:spacing w:after="0"/>
            </w:pPr>
            <w:r>
              <w:rPr>
                <w:b w:val="false"/>
                <w:bCs w:val="false"/>
                <w:color w:val="000000"/>
                <w:sz w:val="19"/>
                <w:szCs w:val="19"/>
              </w:rPr>
              <w:t xml:space="preserve">Baja disponibilidad de las propietarias y del equipo</w:t>
            </w:r>
          </w:p>
        </w:tc>
        <w:tc>
          <w:tcPr>
            <w:tcW w:type="dxa" w:w="6200"/>
            <w:tcMar>
              <w:top w:type="dxa" w:w="80"/>
              <w:left w:type="dxa" w:w="110"/>
              <w:bottom w:type="dxa" w:w="80"/>
              <w:right w:type="dxa" w:w="110"/>
            </w:tcMar>
            <w:vAlign w:val="top"/>
          </w:tcPr>
          <w:p>
            <w:pPr>
              <w:spacing w:after="0"/>
            </w:pPr>
            <w:r>
              <w:rPr>
                <w:b w:val="false"/>
                <w:bCs w:val="false"/>
                <w:color w:val="000000"/>
                <w:sz w:val="19"/>
                <w:szCs w:val="19"/>
              </w:rPr>
              <w:t xml:space="preserve">Instancias de validación acotadas y programadas con anticipación; planificación por sprint con responsabilidades explícitas.</w:t>
            </w:r>
          </w:p>
        </w:tc>
      </w:tr>
      <w:tr>
        <w:tc>
          <w:tcPr>
            <w:tcW w:type="dxa" w:w="2700"/>
            <w:tcMar>
              <w:top w:type="dxa" w:w="80"/>
              <w:left w:type="dxa" w:w="110"/>
              <w:bottom w:type="dxa" w:w="80"/>
              <w:right w:type="dxa" w:w="110"/>
            </w:tcMar>
            <w:vAlign w:val="top"/>
          </w:tcPr>
          <w:p>
            <w:pPr>
              <w:spacing w:after="0"/>
            </w:pPr>
            <w:r>
              <w:rPr>
                <w:b w:val="false"/>
                <w:bCs w:val="false"/>
                <w:color w:val="000000"/>
                <w:sz w:val="19"/>
                <w:szCs w:val="19"/>
              </w:rPr>
              <w:t xml:space="preserve">Ausencia de soporte técnico posterior a la titulación</w:t>
            </w:r>
          </w:p>
        </w:tc>
        <w:tc>
          <w:tcPr>
            <w:tcW w:type="dxa" w:w="6200"/>
            <w:tcMar>
              <w:top w:type="dxa" w:w="80"/>
              <w:left w:type="dxa" w:w="110"/>
              <w:bottom w:type="dxa" w:w="80"/>
              <w:right w:type="dxa" w:w="110"/>
            </w:tcMar>
            <w:vAlign w:val="top"/>
          </w:tcPr>
          <w:p>
            <w:pPr>
              <w:spacing w:after="0"/>
            </w:pPr>
            <w:r>
              <w:rPr>
                <w:b w:val="false"/>
                <w:bCs w:val="false"/>
                <w:color w:val="000000"/>
                <w:sz w:val="19"/>
                <w:szCs w:val="19"/>
              </w:rPr>
              <w:t xml:space="preserve">Manual técnico de despliegue, instalador empaquetado y documentación de operación que permitan la mantención por terceros.</w:t>
            </w:r>
          </w:p>
        </w:tc>
      </w:tr>
    </w:tbl>
    <w:p>
      <w:pPr>
        <w:pStyle w:val="Heading1"/>
        <w:spacing w:after="180" w:before="400"/>
      </w:pPr>
      <w:r>
        <w:rPr>
          <w:b/>
          <w:bCs/>
          <w:color w:val="1F3864"/>
          <w:sz w:val="28"/>
          <w:szCs w:val="28"/>
        </w:rPr>
        <w:t xml:space="preserve">9. Metodología de trabajo</w:t>
      </w:r>
    </w:p>
    <w:p>
      <w:pPr>
        <w:spacing w:after="130" w:line="300"/>
        <w:jc w:val="both"/>
      </w:pPr>
      <w:r>
        <w:rPr>
          <w:color w:val="000000"/>
          <w:sz w:val="22"/>
          <w:szCs w:val="22"/>
        </w:rPr>
        <w:t xml:space="preserve">El proyecto se aborda mediante una metodología ágil, iterativa e incremental, organizada en sprints de dos semanas. La elección responde a que los requerimientos provienen de un negocio en operación y se precisan a medida que se valida cada entrega, lo que hace inviable un enfoque secuencial cerrado (Sommerville, 2011).</w:t>
      </w:r>
    </w:p>
    <w:p>
      <w:pPr>
        <w:pStyle w:val="Heading2"/>
        <w:spacing w:after="130" w:before="300"/>
      </w:pPr>
      <w:r>
        <w:rPr>
          <w:b/>
          <w:bCs/>
          <w:color w:val="222222"/>
          <w:sz w:val="24"/>
          <w:szCs w:val="24"/>
        </w:rPr>
        <w:t xml:space="preserve">9.1 Etapas del trabajo</w:t>
      </w:r>
    </w:p>
    <w:p>
      <w:pPr>
        <w:pStyle w:val="ListParagraph"/>
        <w:numPr>
          <w:ilvl w:val="0"/>
          <w:numId w:val="1"/>
        </w:numPr>
        <w:spacing w:after="130" w:line="300"/>
        <w:jc w:val="both"/>
      </w:pPr>
      <w:r>
        <w:rPr>
          <w:b/>
          <w:bCs/>
          <w:color w:val="000000"/>
          <w:sz w:val="22"/>
          <w:szCs w:val="22"/>
        </w:rPr>
        <w:t xml:space="preserve">Diagnóstico y levantamiento: </w:t>
      </w:r>
      <w:r>
        <w:rPr>
          <w:color w:val="000000"/>
          <w:sz w:val="22"/>
          <w:szCs w:val="22"/>
        </w:rPr>
        <w:t xml:space="preserve">análisis del sistema actual, entrevistas con las responsables del negocio y especificación de requerimientos.</w:t>
      </w:r>
    </w:p>
    <w:p>
      <w:pPr>
        <w:pStyle w:val="ListParagraph"/>
        <w:numPr>
          <w:ilvl w:val="0"/>
          <w:numId w:val="1"/>
        </w:numPr>
        <w:spacing w:after="130" w:line="300"/>
        <w:jc w:val="both"/>
      </w:pPr>
      <w:r>
        <w:rPr>
          <w:b/>
          <w:bCs/>
          <w:color w:val="000000"/>
          <w:sz w:val="22"/>
          <w:szCs w:val="22"/>
        </w:rPr>
        <w:t xml:space="preserve">Diseño: </w:t>
      </w:r>
      <w:r>
        <w:rPr>
          <w:color w:val="000000"/>
          <w:sz w:val="22"/>
          <w:szCs w:val="22"/>
        </w:rPr>
        <w:t xml:space="preserve">arquitectura, modelo de datos entidad-relación y diagramas UML sobre la plataforma definida.</w:t>
      </w:r>
    </w:p>
    <w:p>
      <w:pPr>
        <w:pStyle w:val="ListParagraph"/>
        <w:numPr>
          <w:ilvl w:val="0"/>
          <w:numId w:val="1"/>
        </w:numPr>
        <w:spacing w:after="130" w:line="300"/>
        <w:jc w:val="both"/>
      </w:pPr>
      <w:r>
        <w:rPr>
          <w:b/>
          <w:bCs/>
          <w:color w:val="000000"/>
          <w:sz w:val="22"/>
          <w:szCs w:val="22"/>
        </w:rPr>
        <w:t xml:space="preserve">Construcción iterativa: </w:t>
      </w:r>
      <w:r>
        <w:rPr>
          <w:color w:val="000000"/>
          <w:sz w:val="22"/>
          <w:szCs w:val="22"/>
        </w:rPr>
        <w:t xml:space="preserve">desarrollo por sprints de los módulos de productos, ventas, caja, inventario, compras, clientes y reportería, del proceso de carga de datos y del control de acceso.</w:t>
      </w:r>
    </w:p>
    <w:p>
      <w:pPr>
        <w:pStyle w:val="ListParagraph"/>
        <w:numPr>
          <w:ilvl w:val="0"/>
          <w:numId w:val="1"/>
        </w:numPr>
        <w:spacing w:after="130" w:line="300"/>
        <w:jc w:val="both"/>
      </w:pPr>
      <w:r>
        <w:rPr>
          <w:b/>
          <w:bCs/>
          <w:color w:val="000000"/>
          <w:sz w:val="22"/>
          <w:szCs w:val="22"/>
        </w:rPr>
        <w:t xml:space="preserve">Pruebas y aseguramiento de calidad: </w:t>
      </w:r>
      <w:r>
        <w:rPr>
          <w:color w:val="000000"/>
          <w:sz w:val="22"/>
          <w:szCs w:val="22"/>
        </w:rPr>
        <w:t xml:space="preserve">las pruebas unitarias, de integración, de rendimiento y de seguridad se ejecutan dentro de cada iteración y no como fase final (Pantaleo, 2015), seguidas de la corrección de hallazgos y la validación con las usuarias.</w:t>
      </w:r>
    </w:p>
    <w:p>
      <w:pPr>
        <w:pStyle w:val="ListParagraph"/>
        <w:numPr>
          <w:ilvl w:val="0"/>
          <w:numId w:val="1"/>
        </w:numPr>
        <w:spacing w:after="130" w:line="300"/>
        <w:jc w:val="both"/>
      </w:pPr>
      <w:r>
        <w:rPr>
          <w:b/>
          <w:bCs/>
          <w:color w:val="000000"/>
          <w:sz w:val="22"/>
          <w:szCs w:val="22"/>
        </w:rPr>
        <w:t xml:space="preserve">Implantación: </w:t>
      </w:r>
      <w:r>
        <w:rPr>
          <w:color w:val="000000"/>
          <w:sz w:val="22"/>
          <w:szCs w:val="22"/>
        </w:rPr>
        <w:t xml:space="preserve">migración de datos al entorno productivo, capacitación, marcha blanca de una semana con comparación diaria de cierres, y retiro del sistema anterior.</w:t>
      </w:r>
    </w:p>
    <w:p>
      <w:pPr>
        <w:pStyle w:val="ListParagraph"/>
        <w:numPr>
          <w:ilvl w:val="0"/>
          <w:numId w:val="1"/>
        </w:numPr>
        <w:spacing w:after="130" w:line="300"/>
        <w:jc w:val="both"/>
      </w:pPr>
      <w:r>
        <w:rPr>
          <w:b/>
          <w:bCs/>
          <w:color w:val="000000"/>
          <w:sz w:val="22"/>
          <w:szCs w:val="22"/>
        </w:rPr>
        <w:t xml:space="preserve">Cierre: </w:t>
      </w:r>
      <w:r>
        <w:rPr>
          <w:color w:val="000000"/>
          <w:sz w:val="22"/>
          <w:szCs w:val="22"/>
        </w:rPr>
        <w:t xml:space="preserve">documentación técnica y de usuario, manual de despliegue, instalador empaquetado, informe final y preparación de la defensa.</w:t>
      </w:r>
    </w:p>
    <w:p>
      <w:pPr>
        <w:pStyle w:val="Heading2"/>
        <w:spacing w:after="130" w:before="300"/>
      </w:pPr>
      <w:r>
        <w:rPr>
          <w:b/>
          <w:bCs/>
          <w:color w:val="222222"/>
          <w:sz w:val="24"/>
          <w:szCs w:val="24"/>
        </w:rPr>
        <w:t xml:space="preserve">9.2 Roles de la metodología ágil</w:t>
      </w:r>
    </w:p>
    <w:p>
      <w:pPr>
        <w:spacing w:after="130" w:line="300"/>
        <w:jc w:val="both"/>
      </w:pPr>
      <w:r>
        <w:rPr>
          <w:b/>
          <w:bCs/>
          <w:color w:val="000000"/>
          <w:sz w:val="22"/>
          <w:szCs w:val="22"/>
        </w:rPr>
        <w:t xml:space="preserve">Product Owner — Roxana Cifuentes</w:t>
      </w:r>
      <w:r>
        <w:rPr>
          <w:color w:val="000000"/>
          <w:sz w:val="22"/>
          <w:szCs w:val="22"/>
        </w:rPr>
        <w:t xml:space="preserve">, propietaria del establecimiento. Define y prioriza los requerimientos, valida los incrementos entregados y decide el alcance. Germaine Seitz participa como parte interesada en los procesos de conciliación bancaria, cierre de caja y crédito, y sus requerimientos se canalizan a través del Product Owner.</w:t>
      </w:r>
    </w:p>
    <w:p>
      <w:pPr>
        <w:spacing w:after="130" w:line="300"/>
        <w:jc w:val="both"/>
      </w:pPr>
      <w:r>
        <w:rPr>
          <w:b/>
          <w:bCs/>
          <w:color w:val="000000"/>
          <w:sz w:val="22"/>
          <w:szCs w:val="22"/>
        </w:rPr>
        <w:t xml:space="preserve">Scrum Master — Victoria Roa.</w:t>
      </w:r>
      <w:r>
        <w:rPr>
          <w:color w:val="000000"/>
          <w:sz w:val="22"/>
          <w:szCs w:val="22"/>
        </w:rPr>
        <w:t xml:space="preserve"> Facilita las ceremonias del equipo, mantiene el tablero de gestión, resguarda el cumplimiento de la metodología y remueve los impedimentos que bloquean el avance. Actúa además como enlace entre el equipo de desarrollo y el Product Owner.</w:t>
      </w:r>
    </w:p>
    <w:p>
      <w:pPr>
        <w:spacing w:after="130" w:line="300"/>
        <w:jc w:val="both"/>
      </w:pPr>
      <w:r>
        <w:rPr>
          <w:b/>
          <w:bCs/>
          <w:color w:val="000000"/>
          <w:sz w:val="22"/>
          <w:szCs w:val="22"/>
        </w:rPr>
        <w:t xml:space="preserve">Equipo de desarrollo — Fernando Silva y Eduardo Guzmán.</w:t>
      </w:r>
      <w:r>
        <w:rPr>
          <w:color w:val="000000"/>
          <w:sz w:val="22"/>
          <w:szCs w:val="22"/>
        </w:rPr>
        <w:t xml:space="preserve"> Responsables de construir el incremento en cada sprint y de definir cómo se implementa lo que el Product Owner prioriza.</w:t>
      </w:r>
    </w:p>
    <w:p>
      <w:pPr>
        <w:spacing w:after="130" w:line="300"/>
        <w:jc w:val="both"/>
      </w:pPr>
      <w:r>
        <w:rPr>
          <w:b/>
          <w:bCs/>
          <w:color w:val="000000"/>
          <w:sz w:val="22"/>
          <w:szCs w:val="22"/>
        </w:rPr>
        <w:t xml:space="preserve">Áreas de foco, orientativas y no excluyentes: </w:t>
      </w:r>
      <w:r>
        <w:rPr>
          <w:color w:val="000000"/>
          <w:sz w:val="22"/>
          <w:szCs w:val="22"/>
        </w:rPr>
        <w:t xml:space="preserve">Victoria Roa en levantamiento, modelado de datos, informes y control del plan de trabajo; Fernando Silva en arquitectura, stack, migración desde Firebird, módulos de ventas e inventario, empaquetado y despliegue; Eduardo Guzmán en el módulo de productos, panel administrativo, plan de pruebas y documentación técnica. Todos los integrantes revisan y validan todas las áreas del proyecto.</w:t>
      </w:r>
    </w:p>
    <w:p>
      <w:pPr>
        <w:pStyle w:val="Heading2"/>
        <w:spacing w:after="130" w:before="300"/>
      </w:pPr>
      <w:r>
        <w:rPr>
          <w:b/>
          <w:bCs/>
          <w:color w:val="222222"/>
          <w:sz w:val="24"/>
          <w:szCs w:val="24"/>
        </w:rPr>
        <w:t xml:space="preserve">9.3 Artefactos de la metodología</w:t>
      </w:r>
    </w:p>
    <w:p>
      <w:pPr>
        <w:spacing w:after="130" w:line="300"/>
        <w:jc w:val="both"/>
      </w:pPr>
      <w:r>
        <w:rPr>
          <w:color w:val="000000"/>
          <w:sz w:val="22"/>
          <w:szCs w:val="22"/>
        </w:rPr>
        <w:t xml:space="preserve">Product Vision, Product Backlog priorizado con historias de usuario, Sprint Backlog por iteración, Definition of Done, evidencia de retrospectivas y plan de pruebas por sprint. Se elaboran de forma progresiva conforme avanza el desarrollo. Las decisiones de arquitectura se registran en documentos ADR versionados dentro del repositorio.</w:t>
      </w:r>
    </w:p>
    <w:p>
      <w:pPr>
        <w:pStyle w:val="Heading2"/>
        <w:spacing w:after="130" w:before="300"/>
      </w:pPr>
      <w:r>
        <w:rPr>
          <w:b/>
          <w:bCs/>
          <w:color w:val="222222"/>
          <w:sz w:val="24"/>
          <w:szCs w:val="24"/>
        </w:rPr>
        <w:t xml:space="preserve">9.4 Prácticas de trabajo</w:t>
      </w:r>
    </w:p>
    <w:p>
      <w:pPr>
        <w:pStyle w:val="ListParagraph"/>
        <w:numPr>
          <w:ilvl w:val="0"/>
          <w:numId w:val="1"/>
        </w:numPr>
        <w:spacing w:after="130" w:line="300"/>
        <w:jc w:val="both"/>
      </w:pPr>
      <w:r>
        <w:rPr>
          <w:color w:val="000000"/>
          <w:sz w:val="22"/>
          <w:szCs w:val="22"/>
        </w:rPr>
        <w:t xml:space="preserve">Repositorio público en GitHub activo durante todo el semestre, con flujo de ramas main / develop / feature-* y Conventional Commits. Toda incorporación a develop mediante Pull Request con al menos una revisión de otro integrante.</w:t>
      </w:r>
    </w:p>
    <w:p>
      <w:pPr>
        <w:pStyle w:val="ListParagraph"/>
        <w:numPr>
          <w:ilvl w:val="0"/>
          <w:numId w:val="1"/>
        </w:numPr>
        <w:spacing w:after="130" w:line="300"/>
        <w:jc w:val="both"/>
      </w:pPr>
      <w:r>
        <w:rPr>
          <w:color w:val="000000"/>
          <w:sz w:val="22"/>
          <w:szCs w:val="22"/>
        </w:rPr>
        <w:t xml:space="preserve">Reunión de planificación al inicio de cada sprint y revisión al cierre, con retrospectiva documentada. Seguimiento del backlog y del avance en tablero de gestión.</w:t>
      </w:r>
    </w:p>
    <w:p>
      <w:pPr>
        <w:pStyle w:val="ListParagraph"/>
        <w:numPr>
          <w:ilvl w:val="0"/>
          <w:numId w:val="1"/>
        </w:numPr>
        <w:spacing w:after="130" w:line="300"/>
        <w:jc w:val="both"/>
      </w:pPr>
      <w:r>
        <w:rPr>
          <w:color w:val="000000"/>
          <w:sz w:val="22"/>
          <w:szCs w:val="22"/>
        </w:rPr>
        <w:t xml:space="preserve">Registro de acuerdos en actas dentro del repositorio, conforme a las prácticas de documentación y control descritas por el Project Management Institute (2017).</w:t>
      </w:r>
    </w:p>
    <w:p>
      <w:pPr>
        <w:pStyle w:val="Heading1"/>
        <w:spacing w:after="180" w:before="400"/>
      </w:pPr>
      <w:r>
        <w:rPr>
          <w:b/>
          <w:bCs/>
          <w:color w:val="1F3864"/>
          <w:sz w:val="28"/>
          <w:szCs w:val="28"/>
        </w:rPr>
        <w:t xml:space="preserve">10. Arquitectura y decisiones técnicas</w:t>
      </w:r>
    </w:p>
    <w:p>
      <w:pPr>
        <w:spacing w:after="130" w:line="300"/>
        <w:jc w:val="both"/>
      </w:pPr>
      <w:r>
        <w:rPr>
          <w:color w:val="000000"/>
          <w:sz w:val="22"/>
          <w:szCs w:val="22"/>
        </w:rPr>
        <w:t xml:space="preserve">Las decisiones de arquitectura se encuentran documentadas en tres registros de decisión (ADR) versionados en el repositorio del proyecto.</w:t>
      </w:r>
    </w:p>
    <w:p>
      <w:pPr>
        <w:pStyle w:val="Heading2"/>
        <w:spacing w:after="130" w:before="300"/>
      </w:pPr>
      <w:r>
        <w:rPr>
          <w:b/>
          <w:bCs/>
          <w:color w:val="222222"/>
          <w:sz w:val="24"/>
          <w:szCs w:val="24"/>
        </w:rPr>
        <w:t xml:space="preserve">10.1 Stack tecnológico</w:t>
      </w:r>
    </w:p>
    <w:p>
      <w:pPr>
        <w:spacing w:after="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E8EEF4" w:val="clear"/>
            <w:tcMar>
              <w:top w:type="dxa" w:w="80"/>
              <w:left w:type="dxa" w:w="110"/>
              <w:bottom w:type="dxa" w:w="80"/>
              <w:right w:type="dxa" w:w="110"/>
            </w:tcMar>
            <w:vAlign w:val="top"/>
          </w:tcPr>
          <w:p>
            <w:pPr>
              <w:spacing w:after="0"/>
            </w:pPr>
            <w:r>
              <w:rPr>
                <w:b/>
                <w:bCs/>
                <w:color w:val="000000"/>
                <w:sz w:val="19"/>
                <w:szCs w:val="19"/>
              </w:rPr>
              <w:t xml:space="preserve">Componente</w:t>
            </w:r>
          </w:p>
        </w:tc>
        <w:tc>
          <w:tcPr>
            <w:tcW w:type="dxa" w:w="6300"/>
            <w:shd w:fill="E8EEF4" w:val="clear"/>
            <w:tcMar>
              <w:top w:type="dxa" w:w="80"/>
              <w:left w:type="dxa" w:w="110"/>
              <w:bottom w:type="dxa" w:w="80"/>
              <w:right w:type="dxa" w:w="110"/>
            </w:tcMar>
            <w:vAlign w:val="top"/>
          </w:tcPr>
          <w:p>
            <w:pPr>
              <w:spacing w:after="0"/>
            </w:pPr>
            <w:r>
              <w:rPr>
                <w:b/>
                <w:bCs/>
                <w:color w:val="000000"/>
                <w:sz w:val="19"/>
                <w:szCs w:val="19"/>
              </w:rPr>
              <w:t xml:space="preserve">Tecnología</w:t>
            </w:r>
          </w:p>
        </w:tc>
      </w:tr>
      <w:tr>
        <w:tc>
          <w:tcPr>
            <w:tcW w:type="dxa" w:w="2600"/>
            <w:tcMar>
              <w:top w:type="dxa" w:w="80"/>
              <w:left w:type="dxa" w:w="110"/>
              <w:bottom w:type="dxa" w:w="80"/>
              <w:right w:type="dxa" w:w="110"/>
            </w:tcMar>
            <w:vAlign w:val="top"/>
          </w:tcPr>
          <w:p>
            <w:pPr>
              <w:spacing w:after="0"/>
            </w:pPr>
            <w:r>
              <w:rPr>
                <w:b w:val="false"/>
                <w:bCs w:val="false"/>
                <w:color w:val="000000"/>
                <w:sz w:val="19"/>
                <w:szCs w:val="19"/>
              </w:rPr>
              <w:t xml:space="preserve">Lenguaje</w:t>
            </w:r>
          </w:p>
        </w:tc>
        <w:tc>
          <w:tcPr>
            <w:tcW w:type="dxa" w:w="6300"/>
            <w:tcMar>
              <w:top w:type="dxa" w:w="80"/>
              <w:left w:type="dxa" w:w="110"/>
              <w:bottom w:type="dxa" w:w="80"/>
              <w:right w:type="dxa" w:w="110"/>
            </w:tcMar>
            <w:vAlign w:val="top"/>
          </w:tcPr>
          <w:p>
            <w:pPr>
              <w:spacing w:after="0"/>
            </w:pPr>
            <w:r>
              <w:rPr>
                <w:b w:val="false"/>
                <w:bCs w:val="false"/>
                <w:color w:val="000000"/>
                <w:sz w:val="19"/>
                <w:szCs w:val="19"/>
              </w:rPr>
              <w:t xml:space="preserve">Python 3.11 (64 bits)</w:t>
            </w:r>
          </w:p>
        </w:tc>
      </w:tr>
      <w:tr>
        <w:tc>
          <w:tcPr>
            <w:tcW w:type="dxa" w:w="2600"/>
            <w:tcMar>
              <w:top w:type="dxa" w:w="80"/>
              <w:left w:type="dxa" w:w="110"/>
              <w:bottom w:type="dxa" w:w="80"/>
              <w:right w:type="dxa" w:w="110"/>
            </w:tcMar>
            <w:vAlign w:val="top"/>
          </w:tcPr>
          <w:p>
            <w:pPr>
              <w:spacing w:after="0"/>
            </w:pPr>
            <w:r>
              <w:rPr>
                <w:b w:val="false"/>
                <w:bCs w:val="false"/>
                <w:color w:val="000000"/>
                <w:sz w:val="19"/>
                <w:szCs w:val="19"/>
              </w:rPr>
              <w:t xml:space="preserve">Interfaz gráfica</w:t>
            </w:r>
          </w:p>
        </w:tc>
        <w:tc>
          <w:tcPr>
            <w:tcW w:type="dxa" w:w="6300"/>
            <w:tcMar>
              <w:top w:type="dxa" w:w="80"/>
              <w:left w:type="dxa" w:w="110"/>
              <w:bottom w:type="dxa" w:w="80"/>
              <w:right w:type="dxa" w:w="110"/>
            </w:tcMar>
            <w:vAlign w:val="top"/>
          </w:tcPr>
          <w:p>
            <w:pPr>
              <w:spacing w:after="0"/>
            </w:pPr>
            <w:r>
              <w:rPr>
                <w:b w:val="false"/>
                <w:bCs w:val="false"/>
                <w:color w:val="000000"/>
                <w:sz w:val="19"/>
                <w:szCs w:val="19"/>
              </w:rPr>
              <w:t xml:space="preserve">Tkinter</w:t>
            </w:r>
          </w:p>
        </w:tc>
      </w:tr>
      <w:tr>
        <w:tc>
          <w:tcPr>
            <w:tcW w:type="dxa" w:w="2600"/>
            <w:tcMar>
              <w:top w:type="dxa" w:w="80"/>
              <w:left w:type="dxa" w:w="110"/>
              <w:bottom w:type="dxa" w:w="80"/>
              <w:right w:type="dxa" w:w="110"/>
            </w:tcMar>
            <w:vAlign w:val="top"/>
          </w:tcPr>
          <w:p>
            <w:pPr>
              <w:spacing w:after="0"/>
            </w:pPr>
            <w:r>
              <w:rPr>
                <w:b w:val="false"/>
                <w:bCs w:val="false"/>
                <w:color w:val="000000"/>
                <w:sz w:val="19"/>
                <w:szCs w:val="19"/>
              </w:rPr>
              <w:t xml:space="preserve">Empaquetado</w:t>
            </w:r>
          </w:p>
        </w:tc>
        <w:tc>
          <w:tcPr>
            <w:tcW w:type="dxa" w:w="6300"/>
            <w:tcMar>
              <w:top w:type="dxa" w:w="80"/>
              <w:left w:type="dxa" w:w="110"/>
              <w:bottom w:type="dxa" w:w="80"/>
              <w:right w:type="dxa" w:w="110"/>
            </w:tcMar>
            <w:vAlign w:val="top"/>
          </w:tcPr>
          <w:p>
            <w:pPr>
              <w:spacing w:after="0"/>
            </w:pPr>
            <w:r>
              <w:rPr>
                <w:b w:val="false"/>
                <w:bCs w:val="false"/>
                <w:color w:val="000000"/>
                <w:sz w:val="19"/>
                <w:szCs w:val="19"/>
              </w:rPr>
              <w:t xml:space="preserve">PyInstaller</w:t>
            </w:r>
          </w:p>
        </w:tc>
      </w:tr>
      <w:tr>
        <w:tc>
          <w:tcPr>
            <w:tcW w:type="dxa" w:w="2600"/>
            <w:tcMar>
              <w:top w:type="dxa" w:w="80"/>
              <w:left w:type="dxa" w:w="110"/>
              <w:bottom w:type="dxa" w:w="80"/>
              <w:right w:type="dxa" w:w="110"/>
            </w:tcMar>
            <w:vAlign w:val="top"/>
          </w:tcPr>
          <w:p>
            <w:pPr>
              <w:spacing w:after="0"/>
            </w:pPr>
            <w:r>
              <w:rPr>
                <w:b w:val="false"/>
                <w:bCs w:val="false"/>
                <w:color w:val="000000"/>
                <w:sz w:val="19"/>
                <w:szCs w:val="19"/>
              </w:rPr>
              <w:t xml:space="preserve">Base local</w:t>
            </w:r>
          </w:p>
        </w:tc>
        <w:tc>
          <w:tcPr>
            <w:tcW w:type="dxa" w:w="6300"/>
            <w:tcMar>
              <w:top w:type="dxa" w:w="80"/>
              <w:left w:type="dxa" w:w="110"/>
              <w:bottom w:type="dxa" w:w="80"/>
              <w:right w:type="dxa" w:w="110"/>
            </w:tcMar>
            <w:vAlign w:val="top"/>
          </w:tcPr>
          <w:p>
            <w:pPr>
              <w:spacing w:after="0"/>
            </w:pPr>
            <w:r>
              <w:rPr>
                <w:b w:val="false"/>
                <w:bCs w:val="false"/>
                <w:color w:val="000000"/>
                <w:sz w:val="19"/>
                <w:szCs w:val="19"/>
              </w:rPr>
              <w:t xml:space="preserve">SQLite en modo WAL</w:t>
            </w:r>
          </w:p>
        </w:tc>
      </w:tr>
      <w:tr>
        <w:tc>
          <w:tcPr>
            <w:tcW w:type="dxa" w:w="2600"/>
            <w:tcMar>
              <w:top w:type="dxa" w:w="80"/>
              <w:left w:type="dxa" w:w="110"/>
              <w:bottom w:type="dxa" w:w="80"/>
              <w:right w:type="dxa" w:w="110"/>
            </w:tcMar>
            <w:vAlign w:val="top"/>
          </w:tcPr>
          <w:p>
            <w:pPr>
              <w:spacing w:after="0"/>
            </w:pPr>
            <w:r>
              <w:rPr>
                <w:b w:val="false"/>
                <w:bCs w:val="false"/>
                <w:color w:val="000000"/>
                <w:sz w:val="19"/>
                <w:szCs w:val="19"/>
              </w:rPr>
              <w:t xml:space="preserve">Base remota</w:t>
            </w:r>
          </w:p>
        </w:tc>
        <w:tc>
          <w:tcPr>
            <w:tcW w:type="dxa" w:w="6300"/>
            <w:tcMar>
              <w:top w:type="dxa" w:w="80"/>
              <w:left w:type="dxa" w:w="110"/>
              <w:bottom w:type="dxa" w:w="80"/>
              <w:right w:type="dxa" w:w="110"/>
            </w:tcMar>
            <w:vAlign w:val="top"/>
          </w:tcPr>
          <w:p>
            <w:pPr>
              <w:spacing w:after="0"/>
            </w:pPr>
            <w:r>
              <w:rPr>
                <w:b w:val="false"/>
                <w:bCs w:val="false"/>
                <w:color w:val="000000"/>
                <w:sz w:val="19"/>
                <w:szCs w:val="19"/>
              </w:rPr>
              <w:t xml:space="preserve">PostgreSQL sobre Supabase</w:t>
            </w:r>
          </w:p>
        </w:tc>
      </w:tr>
      <w:tr>
        <w:tc>
          <w:tcPr>
            <w:tcW w:type="dxa" w:w="2600"/>
            <w:tcMar>
              <w:top w:type="dxa" w:w="80"/>
              <w:left w:type="dxa" w:w="110"/>
              <w:bottom w:type="dxa" w:w="80"/>
              <w:right w:type="dxa" w:w="110"/>
            </w:tcMar>
            <w:vAlign w:val="top"/>
          </w:tcPr>
          <w:p>
            <w:pPr>
              <w:spacing w:after="0"/>
            </w:pPr>
            <w:r>
              <w:rPr>
                <w:b w:val="false"/>
                <w:bCs w:val="false"/>
                <w:color w:val="000000"/>
                <w:sz w:val="19"/>
                <w:szCs w:val="19"/>
              </w:rPr>
              <w:t xml:space="preserve">Linter y pruebas</w:t>
            </w:r>
          </w:p>
        </w:tc>
        <w:tc>
          <w:tcPr>
            <w:tcW w:type="dxa" w:w="6300"/>
            <w:tcMar>
              <w:top w:type="dxa" w:w="80"/>
              <w:left w:type="dxa" w:w="110"/>
              <w:bottom w:type="dxa" w:w="80"/>
              <w:right w:type="dxa" w:w="110"/>
            </w:tcMar>
            <w:vAlign w:val="top"/>
          </w:tcPr>
          <w:p>
            <w:pPr>
              <w:spacing w:after="0"/>
            </w:pPr>
            <w:r>
              <w:rPr>
                <w:b w:val="false"/>
                <w:bCs w:val="false"/>
                <w:color w:val="000000"/>
                <w:sz w:val="19"/>
                <w:szCs w:val="19"/>
              </w:rPr>
              <w:t xml:space="preserve">ruff y pytest</w:t>
            </w:r>
          </w:p>
        </w:tc>
      </w:tr>
      <w:tr>
        <w:tc>
          <w:tcPr>
            <w:tcW w:type="dxa" w:w="2600"/>
            <w:tcMar>
              <w:top w:type="dxa" w:w="80"/>
              <w:left w:type="dxa" w:w="110"/>
              <w:bottom w:type="dxa" w:w="80"/>
              <w:right w:type="dxa" w:w="110"/>
            </w:tcMar>
            <w:vAlign w:val="top"/>
          </w:tcPr>
          <w:p>
            <w:pPr>
              <w:spacing w:after="0"/>
            </w:pPr>
            <w:r>
              <w:rPr>
                <w:b w:val="false"/>
                <w:bCs w:val="false"/>
                <w:color w:val="000000"/>
                <w:sz w:val="19"/>
                <w:szCs w:val="19"/>
              </w:rPr>
              <w:t xml:space="preserve">Contenedores</w:t>
            </w:r>
          </w:p>
        </w:tc>
        <w:tc>
          <w:tcPr>
            <w:tcW w:type="dxa" w:w="6300"/>
            <w:tcMar>
              <w:top w:type="dxa" w:w="80"/>
              <w:left w:type="dxa" w:w="110"/>
              <w:bottom w:type="dxa" w:w="80"/>
              <w:right w:type="dxa" w:w="110"/>
            </w:tcMar>
            <w:vAlign w:val="top"/>
          </w:tcPr>
          <w:p>
            <w:pPr>
              <w:spacing w:after="0"/>
            </w:pPr>
            <w:r>
              <w:rPr>
                <w:b w:val="false"/>
                <w:bCs w:val="false"/>
                <w:color w:val="000000"/>
                <w:sz w:val="19"/>
                <w:szCs w:val="19"/>
              </w:rPr>
              <w:t xml:space="preserve">No se utilizan; distribución por instalador</w:t>
            </w:r>
          </w:p>
        </w:tc>
      </w:tr>
    </w:tbl>
    <w:p>
      <w:pPr>
        <w:spacing w:after="160"/>
      </w:pPr>
    </w:p>
    <w:p>
      <w:pPr>
        <w:spacing w:after="130" w:line="300"/>
        <w:jc w:val="both"/>
      </w:pPr>
      <w:r>
        <w:rPr>
          <w:color w:val="000000"/>
          <w:sz w:val="22"/>
          <w:szCs w:val="22"/>
        </w:rPr>
        <w:t xml:space="preserve">La restricción determinante es que el equipo del establecimiento opera con Windows 8.1 de 64 bits. Electron 23 y posteriores dejaron de soportar esa versión, y .NET 7 y 8 tampoco la admiten. La comunicación cifrada hacia la base remota se resuelve además con la biblioteca criptográfica propia de Python y no con la del sistema operativo, que se encuentra obsoleta.</w:t>
      </w:r>
    </w:p>
    <w:p>
      <w:pPr>
        <w:pStyle w:val="Heading2"/>
        <w:spacing w:after="130" w:before="300"/>
      </w:pPr>
      <w:r>
        <w:rPr>
          <w:b/>
          <w:bCs/>
          <w:color w:val="222222"/>
          <w:sz w:val="24"/>
          <w:szCs w:val="24"/>
        </w:rPr>
        <w:t xml:space="preserve">10.2 Operación sin conexión</w:t>
      </w:r>
    </w:p>
    <w:p>
      <w:pPr>
        <w:spacing w:after="130" w:line="300"/>
        <w:jc w:val="both"/>
      </w:pPr>
      <w:r>
        <w:rPr>
          <w:color w:val="000000"/>
          <w:sz w:val="22"/>
          <w:szCs w:val="22"/>
        </w:rPr>
        <w:t xml:space="preserve">El levantamiento estableció la disponibilidad operativa como requisito no funcional crítico. La aplicación lee y escribe siempre contra la base local, que actúa como fuente de verdad operativa, y nunca se bloquea por falta de red. Cada operación relevante se encola con un identificador único de cliente; un proceso en segundo plano publica lo pendiente hacia la base remota cuando hay conexión.</w:t>
      </w:r>
    </w:p>
    <w:p>
      <w:pPr>
        <w:spacing w:after="130" w:line="300"/>
        <w:jc w:val="both"/>
      </w:pPr>
      <w:r>
        <w:rPr>
          <w:color w:val="000000"/>
          <w:sz w:val="22"/>
          <w:szCs w:val="22"/>
        </w:rPr>
        <w:t xml:space="preserve">El destino aplica una política de inserción idempotente, de modo que reintentar no duplica datos y una interrupción a mitad de la sincronización no pierde ni duplica operaciones. El escenario está cubierto por una prueba automatizada. La base local opera además en un modo que la hace recuperable ante cortes de energía, situación ya ocurrida en el establecimiento.</w:t>
      </w:r>
    </w:p>
    <w:p>
      <w:pPr>
        <w:spacing w:after="130" w:line="300"/>
        <w:jc w:val="both"/>
      </w:pPr>
      <w:r>
        <w:rPr>
          <w:color w:val="000000"/>
          <w:sz w:val="22"/>
          <w:szCs w:val="22"/>
        </w:rPr>
        <w:t xml:space="preserve">Dado que el establecimiento opera con un solo computador, existe un único escritor y el problema se reduce a una cola de envío, sin conflictos de concurrencia. Esta decisión preserva la disponibilidad y elimina el riesgo del respaldo alojado en el mismo equipo, sin heredar la limitación de conexión única del sistema legado.</w:t>
      </w:r>
    </w:p>
    <w:p>
      <w:pPr>
        <w:pStyle w:val="Heading2"/>
        <w:spacing w:after="130" w:before="300"/>
      </w:pPr>
      <w:r>
        <w:rPr>
          <w:b/>
          <w:bCs/>
          <w:color w:val="222222"/>
          <w:sz w:val="24"/>
          <w:szCs w:val="24"/>
        </w:rPr>
        <w:t xml:space="preserve">10.3 Migración desacoplada</w:t>
      </w:r>
    </w:p>
    <w:p>
      <w:pPr>
        <w:spacing w:after="130" w:line="300"/>
        <w:jc w:val="both"/>
      </w:pPr>
      <w:r>
        <w:rPr>
          <w:color w:val="000000"/>
          <w:sz w:val="22"/>
          <w:szCs w:val="22"/>
        </w:rPr>
        <w:t xml:space="preserve">La aplicación no incorpora ningún controlador de Firebird. El motor embebido del sistema legado y sus bibliotecas son de 32 bits, incompatibles con un intérprete de 64 bits. La migración se ejecuta, por tanto, como un proceso independiente: respaldo previo del archivo, exportación mediante las herramientas nativas del motor, depuración documentada del catálogo, y carga mediante un importador desarrollado en Python y verificable con archivos de ejemplo.</w:t>
      </w:r>
    </w:p>
    <w:p>
      <w:pPr>
        <w:pStyle w:val="Heading2"/>
        <w:spacing w:after="130" w:before="300"/>
      </w:pPr>
      <w:r>
        <w:rPr>
          <w:b/>
          <w:bCs/>
          <w:color w:val="222222"/>
          <w:sz w:val="24"/>
          <w:szCs w:val="24"/>
        </w:rPr>
        <w:t xml:space="preserve">10.4 Portabilidad sin contenedores</w:t>
      </w:r>
    </w:p>
    <w:p>
      <w:pPr>
        <w:spacing w:after="130" w:line="300"/>
        <w:jc w:val="both"/>
      </w:pPr>
      <w:r>
        <w:rPr>
          <w:color w:val="000000"/>
          <w:sz w:val="22"/>
          <w:szCs w:val="22"/>
        </w:rPr>
        <w:t xml:space="preserve">La exención del requisito de despliegue containerizado, autorizada por la docente guía, se compensa con mecanismos equivalentes: manual técnico de despliegue, ejecutable empaquetado, variables de entorno separadas del código, dependencias fijadas por versión y esquema de datos versionado. La naturaleza de la solución —aplicación de escritorio con base de datos gestionada— implica que ningún componente se ejecuta como servicio, de modo que el despliegue es un instalador y no un contenedor.</w:t>
      </w:r>
    </w:p>
    <w:p>
      <w:pPr>
        <w:pStyle w:val="Heading1"/>
        <w:spacing w:after="180" w:before="400"/>
      </w:pPr>
      <w:r>
        <w:rPr>
          <w:b/>
          <w:bCs/>
          <w:color w:val="1F3864"/>
          <w:sz w:val="28"/>
          <w:szCs w:val="28"/>
        </w:rPr>
        <w:t xml:space="preserve">11. Plan de trabajo</w:t>
      </w:r>
    </w:p>
    <w:p>
      <w:pPr>
        <w:spacing w:after="130" w:line="300"/>
        <w:jc w:val="both"/>
      </w:pPr>
      <w:r>
        <w:rPr>
          <w:color w:val="000000"/>
          <w:sz w:val="22"/>
          <w:szCs w:val="22"/>
        </w:rPr>
        <w:t xml:space="preserve">La planificación se estructura en dieciocho semanas. El criterio que ordena el cronograma es que la solución se encuentre implantada y validada por la organización antes de la evaluación final.</w:t>
      </w:r>
    </w:p>
    <w:p>
      <w:pPr>
        <w:spacing w:after="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800"/>
        <w:gridCol w:w="1300"/>
        <w:gridCol w:w="3200"/>
      </w:tblGrid>
      <w:tr>
        <w:trPr>
          <w:tblHeader/>
        </w:trPr>
        <w:tc>
          <w:tcPr>
            <w:tcW w:type="dxa" w:w="2100"/>
            <w:shd w:fill="E8EEF4" w:val="clear"/>
            <w:tcMar>
              <w:top w:type="dxa" w:w="80"/>
              <w:left w:type="dxa" w:w="110"/>
              <w:bottom w:type="dxa" w:w="80"/>
              <w:right w:type="dxa" w:w="110"/>
            </w:tcMar>
            <w:vAlign w:val="top"/>
          </w:tcPr>
          <w:p>
            <w:pPr>
              <w:spacing w:after="0"/>
            </w:pPr>
            <w:r>
              <w:rPr>
                <w:b/>
                <w:bCs/>
                <w:color w:val="000000"/>
                <w:sz w:val="16"/>
                <w:szCs w:val="16"/>
              </w:rPr>
              <w:t xml:space="preserve">Actividad</w:t>
            </w:r>
          </w:p>
        </w:tc>
        <w:tc>
          <w:tcPr>
            <w:tcW w:type="dxa" w:w="1500"/>
            <w:shd w:fill="E8EEF4" w:val="clear"/>
            <w:tcMar>
              <w:top w:type="dxa" w:w="80"/>
              <w:left w:type="dxa" w:w="110"/>
              <w:bottom w:type="dxa" w:w="80"/>
              <w:right w:type="dxa" w:w="110"/>
            </w:tcMar>
            <w:vAlign w:val="top"/>
          </w:tcPr>
          <w:p>
            <w:pPr>
              <w:spacing w:after="0"/>
            </w:pPr>
            <w:r>
              <w:rPr>
                <w:b/>
                <w:bCs/>
                <w:color w:val="000000"/>
                <w:sz w:val="16"/>
                <w:szCs w:val="16"/>
              </w:rPr>
              <w:t xml:space="preserve">Recursos</w:t>
            </w:r>
          </w:p>
        </w:tc>
        <w:tc>
          <w:tcPr>
            <w:tcW w:type="dxa" w:w="800"/>
            <w:shd w:fill="E8EEF4" w:val="clear"/>
            <w:tcMar>
              <w:top w:type="dxa" w:w="80"/>
              <w:left w:type="dxa" w:w="110"/>
              <w:bottom w:type="dxa" w:w="80"/>
              <w:right w:type="dxa" w:w="110"/>
            </w:tcMar>
            <w:vAlign w:val="top"/>
          </w:tcPr>
          <w:p>
            <w:pPr>
              <w:spacing w:after="0"/>
            </w:pPr>
            <w:r>
              <w:rPr>
                <w:b/>
                <w:bCs/>
                <w:color w:val="000000"/>
                <w:sz w:val="16"/>
                <w:szCs w:val="16"/>
              </w:rPr>
              <w:t xml:space="preserve">Duración</w:t>
            </w:r>
          </w:p>
        </w:tc>
        <w:tc>
          <w:tcPr>
            <w:tcW w:type="dxa" w:w="1300"/>
            <w:shd w:fill="E8EEF4" w:val="clear"/>
            <w:tcMar>
              <w:top w:type="dxa" w:w="80"/>
              <w:left w:type="dxa" w:w="110"/>
              <w:bottom w:type="dxa" w:w="80"/>
              <w:right w:type="dxa" w:w="110"/>
            </w:tcMar>
            <w:vAlign w:val="top"/>
          </w:tcPr>
          <w:p>
            <w:pPr>
              <w:spacing w:after="0"/>
            </w:pPr>
            <w:r>
              <w:rPr>
                <w:b/>
                <w:bCs/>
                <w:color w:val="000000"/>
                <w:sz w:val="16"/>
                <w:szCs w:val="16"/>
              </w:rPr>
              <w:t xml:space="preserve">Responsable</w:t>
            </w:r>
          </w:p>
        </w:tc>
        <w:tc>
          <w:tcPr>
            <w:tcW w:type="dxa" w:w="3200"/>
            <w:shd w:fill="E8EEF4" w:val="clear"/>
            <w:tcMar>
              <w:top w:type="dxa" w:w="80"/>
              <w:left w:type="dxa" w:w="110"/>
              <w:bottom w:type="dxa" w:w="80"/>
              <w:right w:type="dxa" w:w="110"/>
            </w:tcMar>
            <w:vAlign w:val="top"/>
          </w:tcPr>
          <w:p>
            <w:pPr>
              <w:spacing w:after="0"/>
            </w:pPr>
            <w:r>
              <w:rPr>
                <w:b/>
                <w:bCs/>
                <w:color w:val="000000"/>
                <w:sz w:val="16"/>
                <w:szCs w:val="16"/>
              </w:rPr>
              <w:t xml:space="preserve">Facilitadores y obstaculizadores</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Diagnóstico y levantamiento de requerimientos</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Máquina virtual, cliente SQL, guion de entrevista</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S1–S4</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Victoria Roa</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Facilitador: acceso directo al negocio. Dificultad: criterios divergentes entre las propietarias, resueltos mediante registro y validación conjunta.</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Definición del proyecto y entrega de Fase 1</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Tablero de gestión, repositorio</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S1–S4</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Victoria Roa</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Facilitador: levantamiento ya realizado.</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Depuración y categorización del catálogo</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Lista provista por las propietarias, planilla</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S4–S9</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Victoria Roa y Eduardo Guzmán</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Dificultad: bloquea la migración, por lo que se inicia anticipadamente. Facilitador: no depende de la definición tecnológica.</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Diseño de arquitectura y modelo de datos</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Herramienta de modelado</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S4–S5</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Victoria Roa y Fernando Silva</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Dificultad: el sistema operativo del local restringe las plataformas disponibles.</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Construcción del módulo de productos</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Entorno de desarrollo, repositorio</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S6–S7</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Eduardo Guzmán</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Facilitador: requisitos levantados con evidencia. Dificultad: la semana 6 coincide con festividades nacionales.</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Construcción de ventas y caja</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Lector, impresora, cajón de dinero</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S8–S9</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Fernando Silva</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Dificultad: requiere pruebas con periféricos reales. Facilitador: protocolos estándar.</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Elaboración del informe de avance</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Repositorio, tablero</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S9–S10</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Victoria Roa</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Facilitador: evidencias generadas de forma continua durante los sprints.</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Construcción de inventario y clientes</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Entorno de desarrollo</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S10–S11</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Eduardo Guzmán</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Dificultad: la regla de descuento del crédito requiere confirmación con un ejemplo numérico real.</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Construcción del módulo de compras</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Entorno de desarrollo</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S11–S12</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Eduardo Guzmán</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Facilitador: comparte modelo con inventario. Dificultad: requiere definir el flujo de recepción con las propietarias.</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Construcción de reportería y usuarios</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Entorno de desarrollo</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S12–S13</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Fernando Silva</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Dificultad: la meta diaria depende del cálculo correcto de margen.</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Ejecución del plan de pruebas por iteración</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Marco de pruebas, máquina virtual</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S5–S13</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Eduardo Guzmán</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Dificultad: deben ejecutarse dentro de cada iteración. Se probará sobre hardware equivalente al del local.</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Ensayos de migración en máquina virtual</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Máquina virtual, cliente SQL</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S11–S13</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Fernando Silva</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Facilitador: capacidad de extracción ya validada. Dificultad: la calidad de los datos puede ser peor a la estimada.</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Hito de decisión sobre implantación</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Tablero de avance, acta</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S12</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Equipo completo</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Facilitador: criterio definido con anticipación, lo que evita decidir bajo presión.</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Migración de datos al entorno productivo</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Equipo del local, respaldo, instalador</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S14</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Fernando Silva</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Dificultad: debe realizarse fuera del horario de atención.</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Capacitación y marcha blanca</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Equipo adicional del equipo de proyecto</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S14</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Equipo completo</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Facilitador: ambas propietarias declararon disponibilidad. Requiere un segundo equipo durante la semana.</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Apagado del sistema antiguo</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Equipo del local, respaldo</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S15</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Fernando Silva</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Dificultad: condicionado al resultado de la marcha blanca. Facilitador: procedimiento de reversa disponible.</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Informe final y presentación</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Repositorio, evidencias</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S14–S15</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Victoria Roa</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Facilitador: el sistema en producción permite documentar resultados reales.</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Operación en producción y ajustes correctivos</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Equipo del local, repositorio</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S15–S18</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Equipo completo</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Facilitador: dos a tres semanas de margen antes de la presentación final.</w:t>
            </w:r>
          </w:p>
        </w:tc>
      </w:tr>
      <w:tr>
        <w:tc>
          <w:tcPr>
            <w:tcW w:type="dxa" w:w="2100"/>
            <w:tcMar>
              <w:top w:type="dxa" w:w="80"/>
              <w:left w:type="dxa" w:w="110"/>
              <w:bottom w:type="dxa" w:w="80"/>
              <w:right w:type="dxa" w:w="110"/>
            </w:tcMar>
            <w:vAlign w:val="top"/>
          </w:tcPr>
          <w:p>
            <w:pPr>
              <w:spacing w:after="0"/>
            </w:pPr>
            <w:r>
              <w:rPr>
                <w:b w:val="false"/>
                <w:bCs w:val="false"/>
                <w:color w:val="000000"/>
                <w:sz w:val="16"/>
                <w:szCs w:val="16"/>
              </w:rPr>
              <w:t xml:space="preserve">Presentación ante la comisión evaluadora</w:t>
            </w:r>
          </w:p>
        </w:tc>
        <w:tc>
          <w:tcPr>
            <w:tcW w:type="dxa" w:w="1500"/>
            <w:tcMar>
              <w:top w:type="dxa" w:w="80"/>
              <w:left w:type="dxa" w:w="110"/>
              <w:bottom w:type="dxa" w:w="80"/>
              <w:right w:type="dxa" w:w="110"/>
            </w:tcMar>
            <w:vAlign w:val="top"/>
          </w:tcPr>
          <w:p>
            <w:pPr>
              <w:spacing w:after="0"/>
            </w:pPr>
            <w:r>
              <w:rPr>
                <w:b w:val="false"/>
                <w:bCs w:val="false"/>
                <w:color w:val="000000"/>
                <w:sz w:val="16"/>
                <w:szCs w:val="16"/>
              </w:rPr>
              <w:t xml:space="preserve">Presentación, evidencias de operación real</w:t>
            </w:r>
          </w:p>
        </w:tc>
        <w:tc>
          <w:tcPr>
            <w:tcW w:type="dxa" w:w="800"/>
            <w:tcMar>
              <w:top w:type="dxa" w:w="80"/>
              <w:left w:type="dxa" w:w="110"/>
              <w:bottom w:type="dxa" w:w="80"/>
              <w:right w:type="dxa" w:w="110"/>
            </w:tcMar>
            <w:vAlign w:val="top"/>
          </w:tcPr>
          <w:p>
            <w:pPr>
              <w:spacing w:after="0"/>
            </w:pPr>
            <w:r>
              <w:rPr>
                <w:b w:val="false"/>
                <w:bCs w:val="false"/>
                <w:color w:val="000000"/>
                <w:sz w:val="16"/>
                <w:szCs w:val="16"/>
              </w:rPr>
              <w:t xml:space="preserve">S17–S18</w:t>
            </w:r>
          </w:p>
        </w:tc>
        <w:tc>
          <w:tcPr>
            <w:tcW w:type="dxa" w:w="1300"/>
            <w:tcMar>
              <w:top w:type="dxa" w:w="80"/>
              <w:left w:type="dxa" w:w="110"/>
              <w:bottom w:type="dxa" w:w="80"/>
              <w:right w:type="dxa" w:w="110"/>
            </w:tcMar>
            <w:vAlign w:val="top"/>
          </w:tcPr>
          <w:p>
            <w:pPr>
              <w:spacing w:after="0"/>
            </w:pPr>
            <w:r>
              <w:rPr>
                <w:b w:val="false"/>
                <w:bCs w:val="false"/>
                <w:color w:val="000000"/>
                <w:sz w:val="16"/>
                <w:szCs w:val="16"/>
              </w:rPr>
              <w:t xml:space="preserve">Equipo completo</w:t>
            </w:r>
          </w:p>
        </w:tc>
        <w:tc>
          <w:tcPr>
            <w:tcW w:type="dxa" w:w="3200"/>
            <w:tcMar>
              <w:top w:type="dxa" w:w="80"/>
              <w:left w:type="dxa" w:w="110"/>
              <w:bottom w:type="dxa" w:w="80"/>
              <w:right w:type="dxa" w:w="110"/>
            </w:tcMar>
            <w:vAlign w:val="top"/>
          </w:tcPr>
          <w:p>
            <w:pPr>
              <w:spacing w:after="0"/>
            </w:pPr>
            <w:r>
              <w:rPr>
                <w:b w:val="false"/>
                <w:bCs w:val="false"/>
                <w:color w:val="000000"/>
                <w:sz w:val="16"/>
                <w:szCs w:val="16"/>
              </w:rPr>
              <w:t xml:space="preserve">Facilitador: presentar con el sistema en producción sustenta el indicador de implantación.</w:t>
            </w:r>
          </w:p>
        </w:tc>
      </w:tr>
    </w:tbl>
    <w:p>
      <w:pPr>
        <w:pStyle w:val="Heading1"/>
        <w:spacing w:after="180" w:before="400"/>
      </w:pPr>
      <w:r>
        <w:rPr>
          <w:b/>
          <w:bCs/>
          <w:color w:val="1F3864"/>
          <w:sz w:val="28"/>
          <w:szCs w:val="28"/>
        </w:rPr>
        <w:t xml:space="preserve">12. Carta Gantt</w:t>
      </w:r>
    </w:p>
    <w:p>
      <w:pPr>
        <w:spacing w:after="130" w:line="300"/>
        <w:jc w:val="both"/>
      </w:pPr>
      <w:r>
        <w:rPr>
          <w:color w:val="000000"/>
          <w:sz w:val="22"/>
          <w:szCs w:val="22"/>
        </w:rPr>
        <w:t xml:space="preserve">La carta Gantt del proyecto, con las diecinueve actividades distribuidas sobre las dieciocho semanas del semestre y las tres fases de la asignatura, se adjunta como Anexo F.</w:t>
      </w:r>
    </w:p>
    <w:p>
      <w:pPr>
        <w:spacing w:after="130" w:line="300"/>
        <w:jc w:val="both"/>
      </w:pPr>
      <w:r>
        <w:rPr>
          <w:color w:val="000000"/>
          <w:sz w:val="22"/>
          <w:szCs w:val="22"/>
        </w:rPr>
        <w:t xml:space="preserve">Corresponde consignar que la semana 6 coincide con las festividades nacionales de septiembre, período de mayor actividad comercial para el establecimiento. No se planifican durante dicha semana intervenciones presenciales ni actividades que requieran disponibilidad de las propietarias.</w:t>
      </w:r>
    </w:p>
    <w:p>
      <w:pPr>
        <w:pStyle w:val="Heading1"/>
        <w:spacing w:after="180" w:before="400"/>
      </w:pPr>
      <w:r>
        <w:rPr>
          <w:b/>
          <w:bCs/>
          <w:color w:val="1F3864"/>
          <w:sz w:val="28"/>
          <w:szCs w:val="28"/>
        </w:rPr>
        <w:t xml:space="preserve">13. Evidencias</w:t>
      </w:r>
    </w:p>
    <w:p>
      <w:pPr>
        <w:spacing w:after="130" w:line="300"/>
        <w:jc w:val="both"/>
      </w:pPr>
      <w:r>
        <w:rPr>
          <w:color w:val="000000"/>
          <w:sz w:val="22"/>
          <w:szCs w:val="22"/>
        </w:rPr>
        <w:t xml:space="preserve">Las evidencias comprometidas responden al criterio de demostrar tanto el proceso como el resultado. Su selección se fundamenta en la trazabilidad que aportan sobre las decisiones adoptadas.</w:t>
      </w:r>
    </w:p>
    <w:p>
      <w:pPr>
        <w:spacing w:after="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400"/>
      </w:tblGrid>
      <w:tr>
        <w:trPr>
          <w:tblHeader/>
        </w:trPr>
        <w:tc>
          <w:tcPr>
            <w:tcW w:type="dxa" w:w="900"/>
            <w:shd w:fill="E8EEF4" w:val="clear"/>
            <w:tcMar>
              <w:top w:type="dxa" w:w="80"/>
              <w:left w:type="dxa" w:w="110"/>
              <w:bottom w:type="dxa" w:w="80"/>
              <w:right w:type="dxa" w:w="110"/>
            </w:tcMar>
            <w:vAlign w:val="top"/>
          </w:tcPr>
          <w:p>
            <w:pPr>
              <w:spacing w:after="0"/>
            </w:pPr>
            <w:r>
              <w:rPr>
                <w:b/>
                <w:bCs/>
                <w:color w:val="000000"/>
                <w:sz w:val="18"/>
                <w:szCs w:val="18"/>
              </w:rPr>
              <w:t xml:space="preserve">Tipo</w:t>
            </w:r>
          </w:p>
        </w:tc>
        <w:tc>
          <w:tcPr>
            <w:tcW w:type="dxa" w:w="2600"/>
            <w:shd w:fill="E8EEF4" w:val="clear"/>
            <w:tcMar>
              <w:top w:type="dxa" w:w="80"/>
              <w:left w:type="dxa" w:w="110"/>
              <w:bottom w:type="dxa" w:w="80"/>
              <w:right w:type="dxa" w:w="110"/>
            </w:tcMar>
            <w:vAlign w:val="top"/>
          </w:tcPr>
          <w:p>
            <w:pPr>
              <w:spacing w:after="0"/>
            </w:pPr>
            <w:r>
              <w:rPr>
                <w:b/>
                <w:bCs/>
                <w:color w:val="000000"/>
                <w:sz w:val="18"/>
                <w:szCs w:val="18"/>
              </w:rPr>
              <w:t xml:space="preserve">Evidencia</w:t>
            </w:r>
          </w:p>
        </w:tc>
        <w:tc>
          <w:tcPr>
            <w:tcW w:type="dxa" w:w="5400"/>
            <w:shd w:fill="E8EEF4" w:val="clear"/>
            <w:tcMar>
              <w:top w:type="dxa" w:w="80"/>
              <w:left w:type="dxa" w:w="110"/>
              <w:bottom w:type="dxa" w:w="80"/>
              <w:right w:type="dxa" w:w="110"/>
            </w:tcMar>
            <w:vAlign w:val="top"/>
          </w:tcPr>
          <w:p>
            <w:pPr>
              <w:spacing w:after="0"/>
            </w:pPr>
            <w:r>
              <w:rPr>
                <w:b/>
                <w:bCs/>
                <w:color w:val="000000"/>
                <w:sz w:val="18"/>
                <w:szCs w:val="18"/>
              </w:rPr>
              <w:t xml:space="preserve">Justificación</w:t>
            </w:r>
          </w:p>
        </w:tc>
      </w:tr>
      <w:tr>
        <w:tc>
          <w:tcPr>
            <w:tcW w:type="dxa" w:w="900"/>
            <w:tcMar>
              <w:top w:type="dxa" w:w="80"/>
              <w:left w:type="dxa" w:w="110"/>
              <w:bottom w:type="dxa" w:w="80"/>
              <w:right w:type="dxa" w:w="110"/>
            </w:tcMar>
            <w:vAlign w:val="top"/>
          </w:tcPr>
          <w:p>
            <w:pPr>
              <w:spacing w:after="0"/>
            </w:pPr>
            <w:r>
              <w:rPr>
                <w:b w:val="false"/>
                <w:bCs w:val="false"/>
                <w:color w:val="000000"/>
                <w:sz w:val="18"/>
                <w:szCs w:val="18"/>
              </w:rPr>
              <w:t xml:space="preserve">Avance</w:t>
            </w:r>
          </w:p>
        </w:tc>
        <w:tc>
          <w:tcPr>
            <w:tcW w:type="dxa" w:w="2600"/>
            <w:tcMar>
              <w:top w:type="dxa" w:w="80"/>
              <w:left w:type="dxa" w:w="110"/>
              <w:bottom w:type="dxa" w:w="80"/>
              <w:right w:type="dxa" w:w="110"/>
            </w:tcMar>
            <w:vAlign w:val="top"/>
          </w:tcPr>
          <w:p>
            <w:pPr>
              <w:spacing w:after="0"/>
            </w:pPr>
            <w:r>
              <w:rPr>
                <w:b w:val="false"/>
                <w:bCs w:val="false"/>
                <w:color w:val="000000"/>
                <w:sz w:val="18"/>
                <w:szCs w:val="18"/>
              </w:rPr>
              <w:t xml:space="preserve">Registros de entrevista y registro fotográfico del establecimiento</w:t>
            </w:r>
          </w:p>
        </w:tc>
        <w:tc>
          <w:tcPr>
            <w:tcW w:type="dxa" w:w="5400"/>
            <w:tcMar>
              <w:top w:type="dxa" w:w="80"/>
              <w:left w:type="dxa" w:w="110"/>
              <w:bottom w:type="dxa" w:w="80"/>
              <w:right w:type="dxa" w:w="110"/>
            </w:tcMar>
            <w:vAlign w:val="top"/>
          </w:tcPr>
          <w:p>
            <w:pPr>
              <w:spacing w:after="0"/>
            </w:pPr>
            <w:r>
              <w:rPr>
                <w:b w:val="false"/>
                <w:bCs w:val="false"/>
                <w:color w:val="000000"/>
                <w:sz w:val="18"/>
                <w:szCs w:val="18"/>
              </w:rPr>
              <w:t xml:space="preserve">Acredita que los requerimientos provienen del levantamiento con las usuarias y no de supuestos del equipo, y documenta las condiciones de infraestructura que fundamentan el diagnóstico.</w:t>
            </w:r>
          </w:p>
        </w:tc>
      </w:tr>
      <w:tr>
        <w:tc>
          <w:tcPr>
            <w:tcW w:type="dxa" w:w="900"/>
            <w:tcMar>
              <w:top w:type="dxa" w:w="80"/>
              <w:left w:type="dxa" w:w="110"/>
              <w:bottom w:type="dxa" w:w="80"/>
              <w:right w:type="dxa" w:w="110"/>
            </w:tcMar>
            <w:vAlign w:val="top"/>
          </w:tcPr>
          <w:p>
            <w:pPr>
              <w:spacing w:after="0"/>
            </w:pPr>
            <w:r>
              <w:rPr>
                <w:b w:val="false"/>
                <w:bCs w:val="false"/>
                <w:color w:val="000000"/>
                <w:sz w:val="18"/>
                <w:szCs w:val="18"/>
              </w:rPr>
              <w:t xml:space="preserve">Avance</w:t>
            </w:r>
          </w:p>
        </w:tc>
        <w:tc>
          <w:tcPr>
            <w:tcW w:type="dxa" w:w="2600"/>
            <w:tcMar>
              <w:top w:type="dxa" w:w="80"/>
              <w:left w:type="dxa" w:w="110"/>
              <w:bottom w:type="dxa" w:w="80"/>
              <w:right w:type="dxa" w:w="110"/>
            </w:tcMar>
            <w:vAlign w:val="top"/>
          </w:tcPr>
          <w:p>
            <w:pPr>
              <w:spacing w:after="0"/>
            </w:pPr>
            <w:r>
              <w:rPr>
                <w:b w:val="false"/>
                <w:bCs w:val="false"/>
                <w:color w:val="000000"/>
                <w:sz w:val="18"/>
                <w:szCs w:val="18"/>
              </w:rPr>
              <w:t xml:space="preserve">Evidencia del comportamiento del sistema legado</w:t>
            </w:r>
          </w:p>
        </w:tc>
        <w:tc>
          <w:tcPr>
            <w:tcW w:type="dxa" w:w="5400"/>
            <w:tcMar>
              <w:top w:type="dxa" w:w="80"/>
              <w:left w:type="dxa" w:w="110"/>
              <w:bottom w:type="dxa" w:w="80"/>
              <w:right w:type="dxa" w:w="110"/>
            </w:tcMar>
            <w:vAlign w:val="top"/>
          </w:tcPr>
          <w:p>
            <w:pPr>
              <w:spacing w:after="0"/>
            </w:pPr>
            <w:r>
              <w:rPr>
                <w:b w:val="false"/>
                <w:bCs w:val="false"/>
                <w:color w:val="000000"/>
                <w:sz w:val="18"/>
                <w:szCs w:val="18"/>
              </w:rPr>
              <w:t xml:space="preserve">Sustenta con evidencia verificable los defectos identificados, en lugar de apoyarse en el testimonio de las usuarias.</w:t>
            </w:r>
          </w:p>
        </w:tc>
      </w:tr>
      <w:tr>
        <w:tc>
          <w:tcPr>
            <w:tcW w:type="dxa" w:w="900"/>
            <w:tcMar>
              <w:top w:type="dxa" w:w="80"/>
              <w:left w:type="dxa" w:w="110"/>
              <w:bottom w:type="dxa" w:w="80"/>
              <w:right w:type="dxa" w:w="110"/>
            </w:tcMar>
            <w:vAlign w:val="top"/>
          </w:tcPr>
          <w:p>
            <w:pPr>
              <w:spacing w:after="0"/>
            </w:pPr>
            <w:r>
              <w:rPr>
                <w:b w:val="false"/>
                <w:bCs w:val="false"/>
                <w:color w:val="000000"/>
                <w:sz w:val="18"/>
                <w:szCs w:val="18"/>
              </w:rPr>
              <w:t xml:space="preserve">Avance</w:t>
            </w:r>
          </w:p>
        </w:tc>
        <w:tc>
          <w:tcPr>
            <w:tcW w:type="dxa" w:w="2600"/>
            <w:tcMar>
              <w:top w:type="dxa" w:w="80"/>
              <w:left w:type="dxa" w:w="110"/>
              <w:bottom w:type="dxa" w:w="80"/>
              <w:right w:type="dxa" w:w="110"/>
            </w:tcMar>
            <w:vAlign w:val="top"/>
          </w:tcPr>
          <w:p>
            <w:pPr>
              <w:spacing w:after="0"/>
            </w:pPr>
            <w:r>
              <w:rPr>
                <w:b w:val="false"/>
                <w:bCs w:val="false"/>
                <w:color w:val="000000"/>
                <w:sz w:val="18"/>
                <w:szCs w:val="18"/>
              </w:rPr>
              <w:t xml:space="preserve">Modelo de datos y diagramas UML</w:t>
            </w:r>
          </w:p>
        </w:tc>
        <w:tc>
          <w:tcPr>
            <w:tcW w:type="dxa" w:w="5400"/>
            <w:tcMar>
              <w:top w:type="dxa" w:w="80"/>
              <w:left w:type="dxa" w:w="110"/>
              <w:bottom w:type="dxa" w:w="80"/>
              <w:right w:type="dxa" w:w="110"/>
            </w:tcMar>
            <w:vAlign w:val="top"/>
          </w:tcPr>
          <w:p>
            <w:pPr>
              <w:spacing w:after="0"/>
            </w:pPr>
            <w:r>
              <w:rPr>
                <w:b w:val="false"/>
                <w:bCs w:val="false"/>
                <w:color w:val="000000"/>
                <w:sz w:val="18"/>
                <w:szCs w:val="18"/>
              </w:rPr>
              <w:t xml:space="preserve">Da cuenta de la competencia de construcción de modelos de datos y del diseño previo a la construcción.</w:t>
            </w:r>
          </w:p>
        </w:tc>
      </w:tr>
      <w:tr>
        <w:tc>
          <w:tcPr>
            <w:tcW w:type="dxa" w:w="900"/>
            <w:tcMar>
              <w:top w:type="dxa" w:w="80"/>
              <w:left w:type="dxa" w:w="110"/>
              <w:bottom w:type="dxa" w:w="80"/>
              <w:right w:type="dxa" w:w="110"/>
            </w:tcMar>
            <w:vAlign w:val="top"/>
          </w:tcPr>
          <w:p>
            <w:pPr>
              <w:spacing w:after="0"/>
            </w:pPr>
            <w:r>
              <w:rPr>
                <w:b w:val="false"/>
                <w:bCs w:val="false"/>
                <w:color w:val="000000"/>
                <w:sz w:val="18"/>
                <w:szCs w:val="18"/>
              </w:rPr>
              <w:t xml:space="preserve">Avance</w:t>
            </w:r>
          </w:p>
        </w:tc>
        <w:tc>
          <w:tcPr>
            <w:tcW w:type="dxa" w:w="2600"/>
            <w:tcMar>
              <w:top w:type="dxa" w:w="80"/>
              <w:left w:type="dxa" w:w="110"/>
              <w:bottom w:type="dxa" w:w="80"/>
              <w:right w:type="dxa" w:w="110"/>
            </w:tcMar>
            <w:vAlign w:val="top"/>
          </w:tcPr>
          <w:p>
            <w:pPr>
              <w:spacing w:after="0"/>
            </w:pPr>
            <w:r>
              <w:rPr>
                <w:b w:val="false"/>
                <w:bCs w:val="false"/>
                <w:color w:val="000000"/>
                <w:sz w:val="18"/>
                <w:szCs w:val="18"/>
              </w:rPr>
              <w:t xml:space="preserve">Repositorio de control de versiones</w:t>
            </w:r>
          </w:p>
        </w:tc>
        <w:tc>
          <w:tcPr>
            <w:tcW w:type="dxa" w:w="5400"/>
            <w:tcMar>
              <w:top w:type="dxa" w:w="80"/>
              <w:left w:type="dxa" w:w="110"/>
              <w:bottom w:type="dxa" w:w="80"/>
              <w:right w:type="dxa" w:w="110"/>
            </w:tcMar>
            <w:vAlign w:val="top"/>
          </w:tcPr>
          <w:p>
            <w:pPr>
              <w:spacing w:after="0"/>
            </w:pPr>
            <w:r>
              <w:rPr>
                <w:b w:val="false"/>
                <w:bCs w:val="false"/>
                <w:color w:val="000000"/>
                <w:sz w:val="18"/>
                <w:szCs w:val="18"/>
              </w:rPr>
              <w:t xml:space="preserve">Acredita la contribución individual de cada integrante y la evolución del desarrollo.</w:t>
            </w:r>
          </w:p>
        </w:tc>
      </w:tr>
      <w:tr>
        <w:tc>
          <w:tcPr>
            <w:tcW w:type="dxa" w:w="900"/>
            <w:tcMar>
              <w:top w:type="dxa" w:w="80"/>
              <w:left w:type="dxa" w:w="110"/>
              <w:bottom w:type="dxa" w:w="80"/>
              <w:right w:type="dxa" w:w="110"/>
            </w:tcMar>
            <w:vAlign w:val="top"/>
          </w:tcPr>
          <w:p>
            <w:pPr>
              <w:spacing w:after="0"/>
            </w:pPr>
            <w:r>
              <w:rPr>
                <w:b w:val="false"/>
                <w:bCs w:val="false"/>
                <w:color w:val="000000"/>
                <w:sz w:val="18"/>
                <w:szCs w:val="18"/>
              </w:rPr>
              <w:t xml:space="preserve">Avance</w:t>
            </w:r>
          </w:p>
        </w:tc>
        <w:tc>
          <w:tcPr>
            <w:tcW w:type="dxa" w:w="2600"/>
            <w:tcMar>
              <w:top w:type="dxa" w:w="80"/>
              <w:left w:type="dxa" w:w="110"/>
              <w:bottom w:type="dxa" w:w="80"/>
              <w:right w:type="dxa" w:w="110"/>
            </w:tcMar>
            <w:vAlign w:val="top"/>
          </w:tcPr>
          <w:p>
            <w:pPr>
              <w:spacing w:after="0"/>
            </w:pPr>
            <w:r>
              <w:rPr>
                <w:b w:val="false"/>
                <w:bCs w:val="false"/>
                <w:color w:val="000000"/>
                <w:sz w:val="18"/>
                <w:szCs w:val="18"/>
              </w:rPr>
              <w:t xml:space="preserve">Tablero de gestión y actas de reunión</w:t>
            </w:r>
          </w:p>
        </w:tc>
        <w:tc>
          <w:tcPr>
            <w:tcW w:type="dxa" w:w="5400"/>
            <w:tcMar>
              <w:top w:type="dxa" w:w="80"/>
              <w:left w:type="dxa" w:w="110"/>
              <w:bottom w:type="dxa" w:w="80"/>
              <w:right w:type="dxa" w:w="110"/>
            </w:tcMar>
            <w:vAlign w:val="top"/>
          </w:tcPr>
          <w:p>
            <w:pPr>
              <w:spacing w:after="0"/>
            </w:pPr>
            <w:r>
              <w:rPr>
                <w:b w:val="false"/>
                <w:bCs w:val="false"/>
                <w:color w:val="000000"/>
                <w:sz w:val="18"/>
                <w:szCs w:val="18"/>
              </w:rPr>
              <w:t xml:space="preserve">Evidencia la aplicación de la metodología declarada y registra las decisiones adoptadas, su fecha y quiénes las validaron.</w:t>
            </w:r>
          </w:p>
        </w:tc>
      </w:tr>
      <w:tr>
        <w:tc>
          <w:tcPr>
            <w:tcW w:type="dxa" w:w="900"/>
            <w:tcMar>
              <w:top w:type="dxa" w:w="80"/>
              <w:left w:type="dxa" w:w="110"/>
              <w:bottom w:type="dxa" w:w="80"/>
              <w:right w:type="dxa" w:w="110"/>
            </w:tcMar>
            <w:vAlign w:val="top"/>
          </w:tcPr>
          <w:p>
            <w:pPr>
              <w:spacing w:after="0"/>
            </w:pPr>
            <w:r>
              <w:rPr>
                <w:b w:val="false"/>
                <w:bCs w:val="false"/>
                <w:color w:val="000000"/>
                <w:sz w:val="18"/>
                <w:szCs w:val="18"/>
              </w:rPr>
              <w:t xml:space="preserve">Final</w:t>
            </w:r>
          </w:p>
        </w:tc>
        <w:tc>
          <w:tcPr>
            <w:tcW w:type="dxa" w:w="2600"/>
            <w:tcMar>
              <w:top w:type="dxa" w:w="80"/>
              <w:left w:type="dxa" w:w="110"/>
              <w:bottom w:type="dxa" w:w="80"/>
              <w:right w:type="dxa" w:w="110"/>
            </w:tcMar>
            <w:vAlign w:val="top"/>
          </w:tcPr>
          <w:p>
            <w:pPr>
              <w:spacing w:after="0"/>
            </w:pPr>
            <w:r>
              <w:rPr>
                <w:b w:val="false"/>
                <w:bCs w:val="false"/>
                <w:color w:val="000000"/>
                <w:sz w:val="18"/>
                <w:szCs w:val="18"/>
              </w:rPr>
              <w:t xml:space="preserve">Aplicación desarrollada e instalador empaquetado</w:t>
            </w:r>
          </w:p>
        </w:tc>
        <w:tc>
          <w:tcPr>
            <w:tcW w:type="dxa" w:w="5400"/>
            <w:tcMar>
              <w:top w:type="dxa" w:w="80"/>
              <w:left w:type="dxa" w:w="110"/>
              <w:bottom w:type="dxa" w:w="80"/>
              <w:right w:type="dxa" w:w="110"/>
            </w:tcMar>
            <w:vAlign w:val="top"/>
          </w:tcPr>
          <w:p>
            <w:pPr>
              <w:spacing w:after="0"/>
            </w:pPr>
            <w:r>
              <w:rPr>
                <w:b w:val="false"/>
                <w:bCs w:val="false"/>
                <w:color w:val="000000"/>
                <w:sz w:val="18"/>
                <w:szCs w:val="18"/>
              </w:rPr>
              <w:t xml:space="preserve">Constituye el producto central del proyecto y acredita las competencias de desarrollo e integración.</w:t>
            </w:r>
          </w:p>
        </w:tc>
      </w:tr>
      <w:tr>
        <w:tc>
          <w:tcPr>
            <w:tcW w:type="dxa" w:w="900"/>
            <w:tcMar>
              <w:top w:type="dxa" w:w="80"/>
              <w:left w:type="dxa" w:w="110"/>
              <w:bottom w:type="dxa" w:w="80"/>
              <w:right w:type="dxa" w:w="110"/>
            </w:tcMar>
            <w:vAlign w:val="top"/>
          </w:tcPr>
          <w:p>
            <w:pPr>
              <w:spacing w:after="0"/>
            </w:pPr>
            <w:r>
              <w:rPr>
                <w:b w:val="false"/>
                <w:bCs w:val="false"/>
                <w:color w:val="000000"/>
                <w:sz w:val="18"/>
                <w:szCs w:val="18"/>
              </w:rPr>
              <w:t xml:space="preserve">Final</w:t>
            </w:r>
          </w:p>
        </w:tc>
        <w:tc>
          <w:tcPr>
            <w:tcW w:type="dxa" w:w="2600"/>
            <w:tcMar>
              <w:top w:type="dxa" w:w="80"/>
              <w:left w:type="dxa" w:w="110"/>
              <w:bottom w:type="dxa" w:w="80"/>
              <w:right w:type="dxa" w:w="110"/>
            </w:tcMar>
            <w:vAlign w:val="top"/>
          </w:tcPr>
          <w:p>
            <w:pPr>
              <w:spacing w:after="0"/>
            </w:pPr>
            <w:r>
              <w:rPr>
                <w:b w:val="false"/>
                <w:bCs w:val="false"/>
                <w:color w:val="000000"/>
                <w:sz w:val="18"/>
                <w:szCs w:val="18"/>
              </w:rPr>
              <w:t xml:space="preserve">Registro de pruebas por iteración</w:t>
            </w:r>
          </w:p>
        </w:tc>
        <w:tc>
          <w:tcPr>
            <w:tcW w:type="dxa" w:w="5400"/>
            <w:tcMar>
              <w:top w:type="dxa" w:w="80"/>
              <w:left w:type="dxa" w:w="110"/>
              <w:bottom w:type="dxa" w:w="80"/>
              <w:right w:type="dxa" w:w="110"/>
            </w:tcMar>
            <w:vAlign w:val="top"/>
          </w:tcPr>
          <w:p>
            <w:pPr>
              <w:spacing w:after="0"/>
            </w:pPr>
            <w:r>
              <w:rPr>
                <w:b w:val="false"/>
                <w:bCs w:val="false"/>
                <w:color w:val="000000"/>
                <w:sz w:val="18"/>
                <w:szCs w:val="18"/>
              </w:rPr>
              <w:t xml:space="preserve">Acredita la competencia de realizar pruebas de certificación de productos y procesos según buenas prácticas de la industria.</w:t>
            </w:r>
          </w:p>
        </w:tc>
      </w:tr>
      <w:tr>
        <w:tc>
          <w:tcPr>
            <w:tcW w:type="dxa" w:w="900"/>
            <w:tcMar>
              <w:top w:type="dxa" w:w="80"/>
              <w:left w:type="dxa" w:w="110"/>
              <w:bottom w:type="dxa" w:w="80"/>
              <w:right w:type="dxa" w:w="110"/>
            </w:tcMar>
            <w:vAlign w:val="top"/>
          </w:tcPr>
          <w:p>
            <w:pPr>
              <w:spacing w:after="0"/>
            </w:pPr>
            <w:r>
              <w:rPr>
                <w:b w:val="false"/>
                <w:bCs w:val="false"/>
                <w:color w:val="000000"/>
                <w:sz w:val="18"/>
                <w:szCs w:val="18"/>
              </w:rPr>
              <w:t xml:space="preserve">Final</w:t>
            </w:r>
          </w:p>
        </w:tc>
        <w:tc>
          <w:tcPr>
            <w:tcW w:type="dxa" w:w="2600"/>
            <w:tcMar>
              <w:top w:type="dxa" w:w="80"/>
              <w:left w:type="dxa" w:w="110"/>
              <w:bottom w:type="dxa" w:w="80"/>
              <w:right w:type="dxa" w:w="110"/>
            </w:tcMar>
            <w:vAlign w:val="top"/>
          </w:tcPr>
          <w:p>
            <w:pPr>
              <w:spacing w:after="0"/>
            </w:pPr>
            <w:r>
              <w:rPr>
                <w:b w:val="false"/>
                <w:bCs w:val="false"/>
                <w:color w:val="000000"/>
                <w:sz w:val="18"/>
                <w:szCs w:val="18"/>
              </w:rPr>
              <w:t xml:space="preserve">Bitácora de ensayos y ejecución de la migración</w:t>
            </w:r>
          </w:p>
        </w:tc>
        <w:tc>
          <w:tcPr>
            <w:tcW w:type="dxa" w:w="5400"/>
            <w:tcMar>
              <w:top w:type="dxa" w:w="80"/>
              <w:left w:type="dxa" w:w="110"/>
              <w:bottom w:type="dxa" w:w="80"/>
              <w:right w:type="dxa" w:w="110"/>
            </w:tcMar>
            <w:vAlign w:val="top"/>
          </w:tcPr>
          <w:p>
            <w:pPr>
              <w:spacing w:after="0"/>
            </w:pPr>
            <w:r>
              <w:rPr>
                <w:b w:val="false"/>
                <w:bCs w:val="false"/>
                <w:color w:val="000000"/>
                <w:sz w:val="18"/>
                <w:szCs w:val="18"/>
              </w:rPr>
              <w:t xml:space="preserve">Demuestra que el procedimiento fue validado antes de ejecutarse sobre datos productivos.</w:t>
            </w:r>
          </w:p>
        </w:tc>
      </w:tr>
      <w:tr>
        <w:tc>
          <w:tcPr>
            <w:tcW w:type="dxa" w:w="900"/>
            <w:tcMar>
              <w:top w:type="dxa" w:w="80"/>
              <w:left w:type="dxa" w:w="110"/>
              <w:bottom w:type="dxa" w:w="80"/>
              <w:right w:type="dxa" w:w="110"/>
            </w:tcMar>
            <w:vAlign w:val="top"/>
          </w:tcPr>
          <w:p>
            <w:pPr>
              <w:spacing w:after="0"/>
            </w:pPr>
            <w:r>
              <w:rPr>
                <w:b w:val="false"/>
                <w:bCs w:val="false"/>
                <w:color w:val="000000"/>
                <w:sz w:val="18"/>
                <w:szCs w:val="18"/>
              </w:rPr>
              <w:t xml:space="preserve">Final</w:t>
            </w:r>
          </w:p>
        </w:tc>
        <w:tc>
          <w:tcPr>
            <w:tcW w:type="dxa" w:w="2600"/>
            <w:tcMar>
              <w:top w:type="dxa" w:w="80"/>
              <w:left w:type="dxa" w:w="110"/>
              <w:bottom w:type="dxa" w:w="80"/>
              <w:right w:type="dxa" w:w="110"/>
            </w:tcMar>
            <w:vAlign w:val="top"/>
          </w:tcPr>
          <w:p>
            <w:pPr>
              <w:spacing w:after="0"/>
            </w:pPr>
            <w:r>
              <w:rPr>
                <w:b w:val="false"/>
                <w:bCs w:val="false"/>
                <w:color w:val="000000"/>
                <w:sz w:val="18"/>
                <w:szCs w:val="18"/>
              </w:rPr>
              <w:t xml:space="preserve">Registro de la marcha blanca y de la operación en producción</w:t>
            </w:r>
          </w:p>
        </w:tc>
        <w:tc>
          <w:tcPr>
            <w:tcW w:type="dxa" w:w="5400"/>
            <w:tcMar>
              <w:top w:type="dxa" w:w="80"/>
              <w:left w:type="dxa" w:w="110"/>
              <w:bottom w:type="dxa" w:w="80"/>
              <w:right w:type="dxa" w:w="110"/>
            </w:tcMar>
            <w:vAlign w:val="top"/>
          </w:tcPr>
          <w:p>
            <w:pPr>
              <w:spacing w:after="0"/>
            </w:pPr>
            <w:r>
              <w:rPr>
                <w:b w:val="false"/>
                <w:bCs w:val="false"/>
                <w:color w:val="000000"/>
                <w:sz w:val="18"/>
                <w:szCs w:val="18"/>
              </w:rPr>
              <w:t xml:space="preserve">Acredita la validación funcional por las usuarias en el entorno real y sustenta el indicador de implantación.</w:t>
            </w:r>
          </w:p>
        </w:tc>
      </w:tr>
      <w:tr>
        <w:tc>
          <w:tcPr>
            <w:tcW w:type="dxa" w:w="900"/>
            <w:tcMar>
              <w:top w:type="dxa" w:w="80"/>
              <w:left w:type="dxa" w:w="110"/>
              <w:bottom w:type="dxa" w:w="80"/>
              <w:right w:type="dxa" w:w="110"/>
            </w:tcMar>
            <w:vAlign w:val="top"/>
          </w:tcPr>
          <w:p>
            <w:pPr>
              <w:spacing w:after="0"/>
            </w:pPr>
            <w:r>
              <w:rPr>
                <w:b w:val="false"/>
                <w:bCs w:val="false"/>
                <w:color w:val="000000"/>
                <w:sz w:val="18"/>
                <w:szCs w:val="18"/>
              </w:rPr>
              <w:t xml:space="preserve">Final</w:t>
            </w:r>
          </w:p>
        </w:tc>
        <w:tc>
          <w:tcPr>
            <w:tcW w:type="dxa" w:w="2600"/>
            <w:tcMar>
              <w:top w:type="dxa" w:w="80"/>
              <w:left w:type="dxa" w:w="110"/>
              <w:bottom w:type="dxa" w:w="80"/>
              <w:right w:type="dxa" w:w="110"/>
            </w:tcMar>
            <w:vAlign w:val="top"/>
          </w:tcPr>
          <w:p>
            <w:pPr>
              <w:spacing w:after="0"/>
            </w:pPr>
            <w:r>
              <w:rPr>
                <w:b w:val="false"/>
                <w:bCs w:val="false"/>
                <w:color w:val="000000"/>
                <w:sz w:val="18"/>
                <w:szCs w:val="18"/>
              </w:rPr>
              <w:t xml:space="preserve">Manual técnico y documentación de despliegue</w:t>
            </w:r>
          </w:p>
        </w:tc>
        <w:tc>
          <w:tcPr>
            <w:tcW w:type="dxa" w:w="5400"/>
            <w:tcMar>
              <w:top w:type="dxa" w:w="80"/>
              <w:left w:type="dxa" w:w="110"/>
              <w:bottom w:type="dxa" w:w="80"/>
              <w:right w:type="dxa" w:w="110"/>
            </w:tcMar>
            <w:vAlign w:val="top"/>
          </w:tcPr>
          <w:p>
            <w:pPr>
              <w:spacing w:after="0"/>
            </w:pPr>
            <w:r>
              <w:rPr>
                <w:b w:val="false"/>
                <w:bCs w:val="false"/>
                <w:color w:val="000000"/>
                <w:sz w:val="18"/>
                <w:szCs w:val="18"/>
              </w:rPr>
              <w:t xml:space="preserve">Cumple los mecanismos equivalentes comprometidos a cambio de la exención del requisito de contenedores.</w:t>
            </w:r>
          </w:p>
        </w:tc>
      </w:tr>
    </w:tbl>
    <w:p>
      <w:pPr>
        <w:pStyle w:val="Heading1"/>
        <w:spacing w:after="180" w:before="400"/>
      </w:pPr>
      <w:r>
        <w:rPr>
          <w:b/>
          <w:bCs/>
          <w:color w:val="1F3864"/>
          <w:sz w:val="28"/>
          <w:szCs w:val="28"/>
        </w:rPr>
        <w:t xml:space="preserve">14. Cumplimiento de los indicadores de calidad disciplinarios</w:t>
      </w:r>
    </w:p>
    <w:p>
      <w:pPr>
        <w:spacing w:after="130" w:line="300"/>
        <w:jc w:val="both"/>
      </w:pPr>
      <w:r>
        <w:rPr>
          <w:color w:val="000000"/>
          <w:sz w:val="22"/>
          <w:szCs w:val="22"/>
        </w:rPr>
        <w:t xml:space="preserve">A continuación se detalla cómo la propuesta contempla cada uno de los indicadores de calidad vinculados a las competencias del perfil de egreso desarrolladas en el proyecto.</w:t>
      </w:r>
    </w:p>
    <w:p>
      <w:pPr>
        <w:spacing w:after="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100"/>
        <w:gridCol w:w="5800"/>
      </w:tblGrid>
      <w:tr>
        <w:trPr>
          <w:tblHeader/>
        </w:trPr>
        <w:tc>
          <w:tcPr>
            <w:tcW w:type="dxa" w:w="3100"/>
            <w:shd w:fill="E8EEF4" w:val="clear"/>
            <w:tcMar>
              <w:top w:type="dxa" w:w="80"/>
              <w:left w:type="dxa" w:w="110"/>
              <w:bottom w:type="dxa" w:w="80"/>
              <w:right w:type="dxa" w:w="110"/>
            </w:tcMar>
            <w:vAlign w:val="top"/>
          </w:tcPr>
          <w:p>
            <w:pPr>
              <w:spacing w:after="0"/>
            </w:pPr>
            <w:r>
              <w:rPr>
                <w:b/>
                <w:bCs/>
                <w:color w:val="000000"/>
                <w:sz w:val="18"/>
                <w:szCs w:val="18"/>
              </w:rPr>
              <w:t xml:space="preserve">Indicador de calidad</w:t>
            </w:r>
          </w:p>
        </w:tc>
        <w:tc>
          <w:tcPr>
            <w:tcW w:type="dxa" w:w="5800"/>
            <w:shd w:fill="E8EEF4" w:val="clear"/>
            <w:tcMar>
              <w:top w:type="dxa" w:w="80"/>
              <w:left w:type="dxa" w:w="110"/>
              <w:bottom w:type="dxa" w:w="80"/>
              <w:right w:type="dxa" w:w="110"/>
            </w:tcMar>
            <w:vAlign w:val="top"/>
          </w:tcPr>
          <w:p>
            <w:pPr>
              <w:spacing w:after="0"/>
            </w:pPr>
            <w:r>
              <w:rPr>
                <w:b/>
                <w:bCs/>
                <w:color w:val="000000"/>
                <w:sz w:val="18"/>
                <w:szCs w:val="18"/>
              </w:rPr>
              <w:t xml:space="preserve">Dónde se aborda en la propuesta</w:t>
            </w:r>
          </w:p>
        </w:tc>
      </w:tr>
      <w:tr>
        <w:tc>
          <w:tcPr>
            <w:tcW w:type="dxa" w:w="3100"/>
            <w:tcMar>
              <w:top w:type="dxa" w:w="80"/>
              <w:left w:type="dxa" w:w="110"/>
              <w:bottom w:type="dxa" w:w="80"/>
              <w:right w:type="dxa" w:w="110"/>
            </w:tcMar>
            <w:vAlign w:val="top"/>
          </w:tcPr>
          <w:p>
            <w:pPr>
              <w:spacing w:after="0"/>
            </w:pPr>
            <w:r>
              <w:rPr>
                <w:b w:val="false"/>
                <w:bCs w:val="false"/>
                <w:color w:val="000000"/>
                <w:sz w:val="18"/>
                <w:szCs w:val="18"/>
              </w:rPr>
              <w:t xml:space="preserve">Diseña pruebas de validación de productos y procesos</w:t>
            </w:r>
          </w:p>
        </w:tc>
        <w:tc>
          <w:tcPr>
            <w:tcW w:type="dxa" w:w="5800"/>
            <w:tcMar>
              <w:top w:type="dxa" w:w="80"/>
              <w:left w:type="dxa" w:w="110"/>
              <w:bottom w:type="dxa" w:w="80"/>
              <w:right w:type="dxa" w:w="110"/>
            </w:tcMar>
            <w:vAlign w:val="top"/>
          </w:tcPr>
          <w:p>
            <w:pPr>
              <w:spacing w:after="0"/>
            </w:pPr>
            <w:r>
              <w:rPr>
                <w:b w:val="false"/>
                <w:bCs w:val="false"/>
                <w:color w:val="000000"/>
                <w:sz w:val="18"/>
                <w:szCs w:val="18"/>
              </w:rPr>
              <w:t xml:space="preserve">Etapa 4 de la metodología y OE14: plan de pruebas unitarias, de integración, de rendimiento y de seguridad, definido por iteración.</w:t>
            </w:r>
          </w:p>
        </w:tc>
      </w:tr>
      <w:tr>
        <w:tc>
          <w:tcPr>
            <w:tcW w:type="dxa" w:w="3100"/>
            <w:tcMar>
              <w:top w:type="dxa" w:w="80"/>
              <w:left w:type="dxa" w:w="110"/>
              <w:bottom w:type="dxa" w:w="80"/>
              <w:right w:type="dxa" w:w="110"/>
            </w:tcMar>
            <w:vAlign w:val="top"/>
          </w:tcPr>
          <w:p>
            <w:pPr>
              <w:spacing w:after="0"/>
            </w:pPr>
            <w:r>
              <w:rPr>
                <w:b w:val="false"/>
                <w:bCs w:val="false"/>
                <w:color w:val="000000"/>
                <w:sz w:val="18"/>
                <w:szCs w:val="18"/>
              </w:rPr>
              <w:t xml:space="preserve">Aplica pruebas de validación</w:t>
            </w:r>
          </w:p>
        </w:tc>
        <w:tc>
          <w:tcPr>
            <w:tcW w:type="dxa" w:w="5800"/>
            <w:tcMar>
              <w:top w:type="dxa" w:w="80"/>
              <w:left w:type="dxa" w:w="110"/>
              <w:bottom w:type="dxa" w:w="80"/>
              <w:right w:type="dxa" w:w="110"/>
            </w:tcMar>
            <w:vAlign w:val="top"/>
          </w:tcPr>
          <w:p>
            <w:pPr>
              <w:spacing w:after="0"/>
            </w:pPr>
            <w:r>
              <w:rPr>
                <w:b w:val="false"/>
                <w:bCs w:val="false"/>
                <w:color w:val="000000"/>
                <w:sz w:val="18"/>
                <w:szCs w:val="18"/>
              </w:rPr>
              <w:t xml:space="preserve">Ejecución dentro de cada sprint, con 47 pruebas automatizadas ya en estado satisfactorio en el repositorio.</w:t>
            </w:r>
          </w:p>
        </w:tc>
      </w:tr>
      <w:tr>
        <w:tc>
          <w:tcPr>
            <w:tcW w:type="dxa" w:w="3100"/>
            <w:tcMar>
              <w:top w:type="dxa" w:w="80"/>
              <w:left w:type="dxa" w:w="110"/>
              <w:bottom w:type="dxa" w:w="80"/>
              <w:right w:type="dxa" w:w="110"/>
            </w:tcMar>
            <w:vAlign w:val="top"/>
          </w:tcPr>
          <w:p>
            <w:pPr>
              <w:spacing w:after="0"/>
            </w:pPr>
            <w:r>
              <w:rPr>
                <w:b w:val="false"/>
                <w:bCs w:val="false"/>
                <w:color w:val="000000"/>
                <w:sz w:val="18"/>
                <w:szCs w:val="18"/>
              </w:rPr>
              <w:t xml:space="preserve">Desarrolla mejoras al producto en base al resultado</w:t>
            </w:r>
          </w:p>
        </w:tc>
        <w:tc>
          <w:tcPr>
            <w:tcW w:type="dxa" w:w="5800"/>
            <w:tcMar>
              <w:top w:type="dxa" w:w="80"/>
              <w:left w:type="dxa" w:w="110"/>
              <w:bottom w:type="dxa" w:w="80"/>
              <w:right w:type="dxa" w:w="110"/>
            </w:tcMar>
            <w:vAlign w:val="top"/>
          </w:tcPr>
          <w:p>
            <w:pPr>
              <w:spacing w:after="0"/>
            </w:pPr>
            <w:r>
              <w:rPr>
                <w:b w:val="false"/>
                <w:bCs w:val="false"/>
                <w:color w:val="000000"/>
                <w:sz w:val="18"/>
                <w:szCs w:val="18"/>
              </w:rPr>
              <w:t xml:space="preserve">Corrección de hallazgos dentro de la misma iteración y validación funcional con las usuarias durante la marcha blanca.</w:t>
            </w:r>
          </w:p>
        </w:tc>
      </w:tr>
      <w:tr>
        <w:tc>
          <w:tcPr>
            <w:tcW w:type="dxa" w:w="3100"/>
            <w:tcMar>
              <w:top w:type="dxa" w:w="80"/>
              <w:left w:type="dxa" w:w="110"/>
              <w:bottom w:type="dxa" w:w="80"/>
              <w:right w:type="dxa" w:w="110"/>
            </w:tcMar>
            <w:vAlign w:val="top"/>
          </w:tcPr>
          <w:p>
            <w:pPr>
              <w:spacing w:after="0"/>
            </w:pPr>
            <w:r>
              <w:rPr>
                <w:b w:val="false"/>
                <w:bCs w:val="false"/>
                <w:color w:val="000000"/>
                <w:sz w:val="18"/>
                <w:szCs w:val="18"/>
              </w:rPr>
              <w:t xml:space="preserve">Planifica proyectos informáticos ofreciendo alternativas</w:t>
            </w:r>
          </w:p>
        </w:tc>
        <w:tc>
          <w:tcPr>
            <w:tcW w:type="dxa" w:w="5800"/>
            <w:tcMar>
              <w:top w:type="dxa" w:w="80"/>
              <w:left w:type="dxa" w:w="110"/>
              <w:bottom w:type="dxa" w:w="80"/>
              <w:right w:type="dxa" w:w="110"/>
            </w:tcMar>
            <w:vAlign w:val="top"/>
          </w:tcPr>
          <w:p>
            <w:pPr>
              <w:spacing w:after="0"/>
            </w:pPr>
            <w:r>
              <w:rPr>
                <w:b w:val="false"/>
                <w:bCs w:val="false"/>
                <w:color w:val="000000"/>
                <w:sz w:val="18"/>
                <w:szCs w:val="18"/>
              </w:rPr>
              <w:t xml:space="preserve">Plan de trabajo, carta Gantt y tres registros de decisión de arquitectura que documentan las alternativas evaluadas y descartadas.</w:t>
            </w:r>
          </w:p>
        </w:tc>
      </w:tr>
      <w:tr>
        <w:tc>
          <w:tcPr>
            <w:tcW w:type="dxa" w:w="3100"/>
            <w:tcMar>
              <w:top w:type="dxa" w:w="80"/>
              <w:left w:type="dxa" w:w="110"/>
              <w:bottom w:type="dxa" w:w="80"/>
              <w:right w:type="dxa" w:w="110"/>
            </w:tcMar>
            <w:vAlign w:val="top"/>
          </w:tcPr>
          <w:p>
            <w:pPr>
              <w:spacing w:after="0"/>
            </w:pPr>
            <w:r>
              <w:rPr>
                <w:b w:val="false"/>
                <w:bCs w:val="false"/>
                <w:color w:val="000000"/>
                <w:sz w:val="18"/>
                <w:szCs w:val="18"/>
              </w:rPr>
              <w:t xml:space="preserve">Controla proyectos informáticos</w:t>
            </w:r>
          </w:p>
        </w:tc>
        <w:tc>
          <w:tcPr>
            <w:tcW w:type="dxa" w:w="5800"/>
            <w:tcMar>
              <w:top w:type="dxa" w:w="80"/>
              <w:left w:type="dxa" w:w="110"/>
              <w:bottom w:type="dxa" w:w="80"/>
              <w:right w:type="dxa" w:w="110"/>
            </w:tcMar>
            <w:vAlign w:val="top"/>
          </w:tcPr>
          <w:p>
            <w:pPr>
              <w:spacing w:after="0"/>
            </w:pPr>
            <w:r>
              <w:rPr>
                <w:b w:val="false"/>
                <w:bCs w:val="false"/>
                <w:color w:val="000000"/>
                <w:sz w:val="18"/>
                <w:szCs w:val="18"/>
              </w:rPr>
              <w:t xml:space="preserve">Seguimiento en tablero de gestión, hito de decisión de la semana 12 con criterio explícito, y actas de las decisiones validadas con la contraparte.</w:t>
            </w:r>
          </w:p>
        </w:tc>
      </w:tr>
      <w:tr>
        <w:tc>
          <w:tcPr>
            <w:tcW w:type="dxa" w:w="3100"/>
            <w:tcMar>
              <w:top w:type="dxa" w:w="80"/>
              <w:left w:type="dxa" w:w="110"/>
              <w:bottom w:type="dxa" w:w="80"/>
              <w:right w:type="dxa" w:w="110"/>
            </w:tcMar>
            <w:vAlign w:val="top"/>
          </w:tcPr>
          <w:p>
            <w:pPr>
              <w:spacing w:after="0"/>
            </w:pPr>
            <w:r>
              <w:rPr>
                <w:b w:val="false"/>
                <w:bCs w:val="false"/>
                <w:color w:val="000000"/>
                <w:sz w:val="18"/>
                <w:szCs w:val="18"/>
              </w:rPr>
              <w:t xml:space="preserve">Diseña modelos de datos escalables</w:t>
            </w:r>
          </w:p>
        </w:tc>
        <w:tc>
          <w:tcPr>
            <w:tcW w:type="dxa" w:w="5800"/>
            <w:tcMar>
              <w:top w:type="dxa" w:w="80"/>
              <w:left w:type="dxa" w:w="110"/>
              <w:bottom w:type="dxa" w:w="80"/>
              <w:right w:type="dxa" w:w="110"/>
            </w:tcMar>
            <w:vAlign w:val="top"/>
          </w:tcPr>
          <w:p>
            <w:pPr>
              <w:spacing w:after="0"/>
            </w:pPr>
            <w:r>
              <w:rPr>
                <w:b w:val="false"/>
                <w:bCs w:val="false"/>
                <w:color w:val="000000"/>
                <w:sz w:val="18"/>
                <w:szCs w:val="18"/>
              </w:rPr>
              <w:t xml:space="preserve">OE3 y OE12: modelo relacional de destino con separación de bases imponibles, lotes, mermas y auditoría, diseñado para la operación y no como copia de la estructura antigua.</w:t>
            </w:r>
          </w:p>
        </w:tc>
      </w:tr>
      <w:tr>
        <w:tc>
          <w:tcPr>
            <w:tcW w:type="dxa" w:w="3100"/>
            <w:tcMar>
              <w:top w:type="dxa" w:w="80"/>
              <w:left w:type="dxa" w:w="110"/>
              <w:bottom w:type="dxa" w:w="80"/>
              <w:right w:type="dxa" w:w="110"/>
            </w:tcMar>
            <w:vAlign w:val="top"/>
          </w:tcPr>
          <w:p>
            <w:pPr>
              <w:spacing w:after="0"/>
            </w:pPr>
            <w:r>
              <w:rPr>
                <w:b w:val="false"/>
                <w:bCs w:val="false"/>
                <w:color w:val="000000"/>
                <w:sz w:val="18"/>
                <w:szCs w:val="18"/>
              </w:rPr>
              <w:t xml:space="preserve">Implementa modelos de datos</w:t>
            </w:r>
          </w:p>
        </w:tc>
        <w:tc>
          <w:tcPr>
            <w:tcW w:type="dxa" w:w="5800"/>
            <w:tcMar>
              <w:top w:type="dxa" w:w="80"/>
              <w:left w:type="dxa" w:w="110"/>
              <w:bottom w:type="dxa" w:w="80"/>
              <w:right w:type="dxa" w:w="110"/>
            </w:tcMar>
            <w:vAlign w:val="top"/>
          </w:tcPr>
          <w:p>
            <w:pPr>
              <w:spacing w:after="0"/>
            </w:pPr>
            <w:r>
              <w:rPr>
                <w:b w:val="false"/>
                <w:bCs w:val="false"/>
                <w:color w:val="000000"/>
                <w:sz w:val="18"/>
                <w:szCs w:val="18"/>
              </w:rPr>
              <w:t xml:space="preserve">OE11: procedimiento de migración con depuración documentada y esquema versionado en el repositorio.</w:t>
            </w:r>
          </w:p>
        </w:tc>
      </w:tr>
      <w:tr>
        <w:tc>
          <w:tcPr>
            <w:tcW w:type="dxa" w:w="3100"/>
            <w:tcMar>
              <w:top w:type="dxa" w:w="80"/>
              <w:left w:type="dxa" w:w="110"/>
              <w:bottom w:type="dxa" w:w="80"/>
              <w:right w:type="dxa" w:w="110"/>
            </w:tcMar>
            <w:vAlign w:val="top"/>
          </w:tcPr>
          <w:p>
            <w:pPr>
              <w:spacing w:after="0"/>
            </w:pPr>
            <w:r>
              <w:rPr>
                <w:b w:val="false"/>
                <w:bCs w:val="false"/>
                <w:color w:val="000000"/>
                <w:sz w:val="18"/>
                <w:szCs w:val="18"/>
              </w:rPr>
              <w:t xml:space="preserve">Construye una solución de software</w:t>
            </w:r>
          </w:p>
        </w:tc>
        <w:tc>
          <w:tcPr>
            <w:tcW w:type="dxa" w:w="5800"/>
            <w:tcMar>
              <w:top w:type="dxa" w:w="80"/>
              <w:left w:type="dxa" w:w="110"/>
              <w:bottom w:type="dxa" w:w="80"/>
              <w:right w:type="dxa" w:w="110"/>
            </w:tcMar>
            <w:vAlign w:val="top"/>
          </w:tcPr>
          <w:p>
            <w:pPr>
              <w:spacing w:after="0"/>
            </w:pPr>
            <w:r>
              <w:rPr>
                <w:b w:val="false"/>
                <w:bCs w:val="false"/>
                <w:color w:val="000000"/>
                <w:sz w:val="18"/>
                <w:szCs w:val="18"/>
              </w:rPr>
              <w:t xml:space="preserve">OE5 a OE10: módulos de productos, ventas, caja, inventario, compras, clientes y reportería, sobre arquitectura por capas.</w:t>
            </w:r>
          </w:p>
        </w:tc>
      </w:tr>
      <w:tr>
        <w:tc>
          <w:tcPr>
            <w:tcW w:type="dxa" w:w="3100"/>
            <w:tcMar>
              <w:top w:type="dxa" w:w="80"/>
              <w:left w:type="dxa" w:w="110"/>
              <w:bottom w:type="dxa" w:w="80"/>
              <w:right w:type="dxa" w:w="110"/>
            </w:tcMar>
            <w:vAlign w:val="top"/>
          </w:tcPr>
          <w:p>
            <w:pPr>
              <w:spacing w:after="0"/>
            </w:pPr>
            <w:r>
              <w:rPr>
                <w:b w:val="false"/>
                <w:bCs w:val="false"/>
                <w:color w:val="000000"/>
                <w:sz w:val="18"/>
                <w:szCs w:val="18"/>
              </w:rPr>
              <w:t xml:space="preserve">Integra los componentes de la solución</w:t>
            </w:r>
          </w:p>
        </w:tc>
        <w:tc>
          <w:tcPr>
            <w:tcW w:type="dxa" w:w="5800"/>
            <w:tcMar>
              <w:top w:type="dxa" w:w="80"/>
              <w:left w:type="dxa" w:w="110"/>
              <w:bottom w:type="dxa" w:w="80"/>
              <w:right w:type="dxa" w:w="110"/>
            </w:tcMar>
            <w:vAlign w:val="top"/>
          </w:tcPr>
          <w:p>
            <w:pPr>
              <w:spacing w:after="0"/>
            </w:pPr>
            <w:r>
              <w:rPr>
                <w:b w:val="false"/>
                <w:bCs w:val="false"/>
                <w:color w:val="000000"/>
                <w:sz w:val="18"/>
                <w:szCs w:val="18"/>
              </w:rPr>
              <w:t xml:space="preserve">Integración con periféricos del establecimiento, cola de sincronización entre base local y remota, y proceso de carga desde el sistema legado.</w:t>
            </w:r>
          </w:p>
        </w:tc>
      </w:tr>
      <w:tr>
        <w:tc>
          <w:tcPr>
            <w:tcW w:type="dxa" w:w="3100"/>
            <w:tcMar>
              <w:top w:type="dxa" w:w="80"/>
              <w:left w:type="dxa" w:w="110"/>
              <w:bottom w:type="dxa" w:w="80"/>
              <w:right w:type="dxa" w:w="110"/>
            </w:tcMar>
            <w:vAlign w:val="top"/>
          </w:tcPr>
          <w:p>
            <w:pPr>
              <w:spacing w:after="0"/>
            </w:pPr>
            <w:r>
              <w:rPr>
                <w:b w:val="false"/>
                <w:bCs w:val="false"/>
                <w:color w:val="000000"/>
                <w:sz w:val="18"/>
                <w:szCs w:val="18"/>
              </w:rPr>
              <w:t xml:space="preserve">Implanta una solución de software</w:t>
            </w:r>
          </w:p>
        </w:tc>
        <w:tc>
          <w:tcPr>
            <w:tcW w:type="dxa" w:w="5800"/>
            <w:tcMar>
              <w:top w:type="dxa" w:w="80"/>
              <w:left w:type="dxa" w:w="110"/>
              <w:bottom w:type="dxa" w:w="80"/>
              <w:right w:type="dxa" w:w="110"/>
            </w:tcMar>
            <w:vAlign w:val="top"/>
          </w:tcPr>
          <w:p>
            <w:pPr>
              <w:spacing w:after="0"/>
            </w:pPr>
            <w:r>
              <w:rPr>
                <w:b w:val="false"/>
                <w:bCs w:val="false"/>
                <w:color w:val="000000"/>
                <w:sz w:val="18"/>
                <w:szCs w:val="18"/>
              </w:rPr>
              <w:t xml:space="preserve">OE15: migración al entorno productivo, capacitación, marcha blanca supervisada y retiro del sistema anterior antes de la presentación final.</w:t>
            </w:r>
          </w:p>
        </w:tc>
      </w:tr>
    </w:tbl>
    <w:p>
      <w:pPr>
        <w:pStyle w:val="Heading1"/>
        <w:spacing w:after="180" w:before="400"/>
      </w:pPr>
      <w:r>
        <w:rPr>
          <w:b/>
          <w:bCs/>
          <w:color w:val="1F3864"/>
          <w:sz w:val="28"/>
          <w:szCs w:val="28"/>
        </w:rPr>
        <w:t xml:space="preserve">15. Conclusiones individuales</w:t>
      </w:r>
    </w:p>
    <w:p>
      <w:pPr>
        <w:spacing w:after="140" w:before="120"/>
      </w:pPr>
      <w:r>
        <w:rPr>
          <w:b/>
          <w:bCs/>
          <w:color w:val="C00000"/>
          <w:sz w:val="20"/>
          <w:szCs w:val="20"/>
        </w:rPr>
        <w:t xml:space="preserve">[PENDIENTE] Conclusión individual de cada integrante, redactada en idioma inglés. Corresponde a cada integrante elaborar la propia.</w:t>
      </w:r>
    </w:p>
    <w:p>
      <w:pPr>
        <w:pStyle w:val="Heading1"/>
        <w:spacing w:after="180" w:before="400"/>
      </w:pPr>
      <w:r>
        <w:rPr>
          <w:b/>
          <w:bCs/>
          <w:color w:val="1F3864"/>
          <w:sz w:val="28"/>
          <w:szCs w:val="28"/>
        </w:rPr>
        <w:t xml:space="preserve">16. Reflexiones individuales</w:t>
      </w:r>
    </w:p>
    <w:p>
      <w:pPr>
        <w:spacing w:after="140" w:before="120"/>
      </w:pPr>
      <w:r>
        <w:rPr>
          <w:b/>
          <w:bCs/>
          <w:color w:val="C00000"/>
          <w:sz w:val="20"/>
          <w:szCs w:val="20"/>
        </w:rPr>
        <w:t xml:space="preserve">[PENDIENTE] Reflexión individual de cada integrante, redactada en idioma inglés. Corresponde a cada integrante elaborar la propia.</w:t>
      </w:r>
    </w:p>
    <w:p>
      <w:pPr>
        <w:pStyle w:val="Heading1"/>
        <w:spacing w:after="180" w:before="400"/>
      </w:pPr>
      <w:r>
        <w:rPr>
          <w:b/>
          <w:bCs/>
          <w:color w:val="1F3864"/>
          <w:sz w:val="28"/>
          <w:szCs w:val="28"/>
        </w:rPr>
        <w:t xml:space="preserve">Bibliografía</w:t>
      </w:r>
    </w:p>
    <w:p>
      <w:pPr>
        <w:spacing w:after="130" w:line="300"/>
        <w:jc w:val="left"/>
      </w:pPr>
      <w:r>
        <w:rPr>
          <w:color w:val="000000"/>
          <w:sz w:val="22"/>
          <w:szCs w:val="22"/>
        </w:rPr>
        <w:t xml:space="preserve">Pantaleo, G. (2015). </w:t>
      </w:r>
      <w:r>
        <w:rPr>
          <w:i/>
          <w:iCs/>
          <w:color w:val="000000"/>
          <w:sz w:val="22"/>
          <w:szCs w:val="22"/>
        </w:rPr>
        <w:t xml:space="preserve">Ingeniería de software</w:t>
      </w:r>
      <w:r>
        <w:rPr>
          <w:color w:val="000000"/>
          <w:sz w:val="22"/>
          <w:szCs w:val="22"/>
        </w:rPr>
        <w:t xml:space="preserve">. Alfaomega.</w:t>
      </w:r>
    </w:p>
    <w:p>
      <w:pPr>
        <w:spacing w:after="130" w:line="300"/>
        <w:jc w:val="left"/>
      </w:pPr>
      <w:r>
        <w:rPr>
          <w:color w:val="000000"/>
          <w:sz w:val="22"/>
          <w:szCs w:val="22"/>
        </w:rPr>
        <w:t xml:space="preserve">Project Management Institute. (2017). </w:t>
      </w:r>
      <w:r>
        <w:rPr>
          <w:i/>
          <w:iCs/>
          <w:color w:val="000000"/>
          <w:sz w:val="22"/>
          <w:szCs w:val="22"/>
        </w:rPr>
        <w:t xml:space="preserve">Guía de los fundamentos para la dirección de proyectos (Guía del PMBOK)</w:t>
      </w:r>
      <w:r>
        <w:rPr>
          <w:color w:val="000000"/>
          <w:sz w:val="22"/>
          <w:szCs w:val="22"/>
        </w:rPr>
        <w:t xml:space="preserve"> (6.ª ed.). Project Management Institute.</w:t>
      </w:r>
    </w:p>
    <w:p>
      <w:pPr>
        <w:spacing w:after="130" w:line="300"/>
        <w:jc w:val="left"/>
      </w:pPr>
      <w:r>
        <w:rPr>
          <w:color w:val="000000"/>
          <w:sz w:val="22"/>
          <w:szCs w:val="22"/>
        </w:rPr>
        <w:t xml:space="preserve">Sommerville, I. (2011). </w:t>
      </w:r>
      <w:r>
        <w:rPr>
          <w:i/>
          <w:iCs/>
          <w:color w:val="000000"/>
          <w:sz w:val="22"/>
          <w:szCs w:val="22"/>
        </w:rPr>
        <w:t xml:space="preserve">Ingeniería de software</w:t>
      </w:r>
      <w:r>
        <w:rPr>
          <w:color w:val="000000"/>
          <w:sz w:val="22"/>
          <w:szCs w:val="22"/>
        </w:rPr>
        <w:t xml:space="preserve"> (9.ª ed.). Pearson.</w:t>
      </w:r>
    </w:p>
    <w:p>
      <w:pPr>
        <w:pStyle w:val="Heading1"/>
        <w:spacing w:after="180" w:before="400"/>
      </w:pPr>
      <w:r>
        <w:rPr>
          <w:b/>
          <w:bCs/>
          <w:color w:val="1F3864"/>
          <w:sz w:val="28"/>
          <w:szCs w:val="28"/>
        </w:rPr>
        <w:t xml:space="preserve">Anexos</w:t>
      </w:r>
    </w:p>
    <w:p>
      <w:pPr>
        <w:pStyle w:val="ListParagraph"/>
        <w:numPr>
          <w:ilvl w:val="0"/>
          <w:numId w:val="1"/>
        </w:numPr>
        <w:spacing w:after="130" w:line="300"/>
        <w:jc w:val="both"/>
      </w:pPr>
      <w:r>
        <w:rPr>
          <w:color w:val="000000"/>
          <w:sz w:val="22"/>
          <w:szCs w:val="22"/>
        </w:rPr>
        <w:t xml:space="preserve">Anexo A · Registro de entrevista a la propietaria a cargo de compras, precios y catálogo</w:t>
      </w:r>
    </w:p>
    <w:p>
      <w:pPr>
        <w:pStyle w:val="ListParagraph"/>
        <w:numPr>
          <w:ilvl w:val="0"/>
          <w:numId w:val="1"/>
        </w:numPr>
        <w:spacing w:after="130" w:line="300"/>
        <w:jc w:val="both"/>
      </w:pPr>
      <w:r>
        <w:rPr>
          <w:color w:val="000000"/>
          <w:sz w:val="22"/>
          <w:szCs w:val="22"/>
        </w:rPr>
        <w:t xml:space="preserve">Anexo B · Registro de entrevista a la propietaria a cargo de conciliación, crédito y caja</w:t>
      </w:r>
    </w:p>
    <w:p>
      <w:pPr>
        <w:pStyle w:val="ListParagraph"/>
        <w:numPr>
          <w:ilvl w:val="0"/>
          <w:numId w:val="1"/>
        </w:numPr>
        <w:spacing w:after="130" w:line="300"/>
        <w:jc w:val="both"/>
      </w:pPr>
      <w:r>
        <w:rPr>
          <w:color w:val="000000"/>
          <w:sz w:val="22"/>
          <w:szCs w:val="22"/>
        </w:rPr>
        <w:t xml:space="preserve">Anexo C · Registro fotográfico del establecimiento y del equipamiento</w:t>
      </w:r>
    </w:p>
    <w:p>
      <w:pPr>
        <w:pStyle w:val="ListParagraph"/>
        <w:numPr>
          <w:ilvl w:val="0"/>
          <w:numId w:val="1"/>
        </w:numPr>
        <w:spacing w:after="130" w:line="300"/>
        <w:jc w:val="both"/>
      </w:pPr>
      <w:r>
        <w:rPr>
          <w:color w:val="000000"/>
          <w:sz w:val="22"/>
          <w:szCs w:val="22"/>
        </w:rPr>
        <w:t xml:space="preserve">Anexo D · Evidencia del comportamiento del sistema legado y reportes de cierre</w:t>
      </w:r>
    </w:p>
    <w:p>
      <w:pPr>
        <w:pStyle w:val="ListParagraph"/>
        <w:numPr>
          <w:ilvl w:val="0"/>
          <w:numId w:val="1"/>
        </w:numPr>
        <w:spacing w:after="130" w:line="300"/>
        <w:jc w:val="both"/>
      </w:pPr>
      <w:r>
        <w:rPr>
          <w:color w:val="000000"/>
          <w:sz w:val="22"/>
          <w:szCs w:val="22"/>
        </w:rPr>
        <w:t xml:space="preserve">Anexo E · Product Backlog priorizado</w:t>
      </w:r>
    </w:p>
    <w:p>
      <w:pPr>
        <w:pStyle w:val="ListParagraph"/>
        <w:numPr>
          <w:ilvl w:val="0"/>
          <w:numId w:val="1"/>
        </w:numPr>
        <w:spacing w:after="130" w:line="300"/>
        <w:jc w:val="both"/>
      </w:pPr>
      <w:r>
        <w:rPr>
          <w:color w:val="000000"/>
          <w:sz w:val="22"/>
          <w:szCs w:val="22"/>
        </w:rPr>
        <w:t xml:space="preserve">Anexo F · Carta Gantt</w:t>
      </w:r>
    </w:p>
    <w:p>
      <w:pPr>
        <w:pStyle w:val="ListParagraph"/>
        <w:numPr>
          <w:ilvl w:val="0"/>
          <w:numId w:val="1"/>
        </w:numPr>
        <w:spacing w:after="130" w:line="300"/>
        <w:jc w:val="both"/>
      </w:pPr>
      <w:r>
        <w:rPr>
          <w:color w:val="000000"/>
          <w:sz w:val="22"/>
          <w:szCs w:val="22"/>
        </w:rPr>
        <w:t xml:space="preserve">Anexo G · Registros de decisión de arquitectura (ADR)</w:t>
      </w:r>
    </w:p>
    <w:p>
      <w:pPr>
        <w:pStyle w:val="ListParagraph"/>
        <w:numPr>
          <w:ilvl w:val="0"/>
          <w:numId w:val="1"/>
        </w:numPr>
        <w:spacing w:after="130" w:line="300"/>
        <w:jc w:val="both"/>
      </w:pPr>
      <w:r>
        <w:rPr>
          <w:color w:val="000000"/>
          <w:sz w:val="22"/>
          <w:szCs w:val="22"/>
        </w:rPr>
        <w:t xml:space="preserve">Anexo H · Actas de reunión</w:t>
      </w:r>
    </w:p>
    <w:p>
      <w:pPr>
        <w:spacing w:after="140"/>
      </w:pPr>
    </w:p>
    <w:p>
      <w:pPr>
        <w:spacing w:after="130" w:line="300"/>
        <w:jc w:val="both"/>
      </w:pPr>
      <w:r>
        <w:rPr>
          <w:i/>
          <w:iCs/>
          <w:color w:val="595959"/>
          <w:sz w:val="20"/>
          <w:szCs w:val="20"/>
        </w:rPr>
        <w:t xml:space="preserve">Nota sobre tratamiento de datos personales: los anexos que contienen información de la organización cliente se presentan en versión con supresiones. La base de datos del sistema legado contiene nombres, saldos e historial de compras de personas naturales; dicha información fue anonimizada para efectos de desarrollo y no se incorpora al repositorio público de la asignatura.</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Informe técnico — Sistema de Punto de Venta e Inventario · Emporio NaturalSur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2026-09-04T01:16:38.777Z</dcterms:created>
  <dcterms:modified xsi:type="dcterms:W3CDTF">2026-09-04T01:16:38.786Z</dcterms:modified>
</cp:coreProperties>
</file>

<file path=docProps/custom.xml><?xml version="1.0" encoding="utf-8"?>
<Properties xmlns="http://schemas.openxmlformats.org/officeDocument/2006/custom-properties" xmlns:vt="http://schemas.openxmlformats.org/officeDocument/2006/docPropsVTypes"/>
</file>