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C33CF" w:rsidRPr="000C33CF" w:rsidRDefault="000C33CF" w:rsidP="000C33CF">
      <w:pPr>
        <w:pStyle w:val="Ttulo4"/>
        <w:keepNext w:val="0"/>
        <w:keepLines w:val="0"/>
        <w:widowControl w:val="0"/>
        <w:spacing w:before="0" w:after="0"/>
        <w:ind w:firstLine="709"/>
        <w:rPr>
          <w:rFonts w:cs="Times New Roman"/>
          <w:i w:val="0"/>
          <w:iCs/>
        </w:rPr>
      </w:pPr>
      <w:r w:rsidRPr="000C33CF">
        <w:rPr>
          <w:rFonts w:cs="Times New Roman"/>
          <w:i w:val="0"/>
          <w:iCs/>
        </w:rPr>
        <w:t>Statistical Analyses</w:t>
      </w:r>
    </w:p>
    <w:p w:rsidR="000C33CF" w:rsidRPr="000C33CF" w:rsidRDefault="000C33CF" w:rsidP="000C33CF">
      <w:pPr>
        <w:spacing w:line="480" w:lineRule="auto"/>
        <w:ind w:firstLine="709"/>
        <w:rPr>
          <w:rFonts w:ascii="Times New Roman" w:hAnsi="Times New Roman" w:cs="Times New Roman"/>
          <w:iCs/>
          <w:lang w:val="en-US"/>
        </w:rPr>
      </w:pPr>
      <w:r w:rsidRPr="000C33CF">
        <w:rPr>
          <w:rFonts w:ascii="Times New Roman" w:hAnsi="Times New Roman" w:cs="Times New Roman"/>
          <w:iCs/>
          <w:lang w:val="en-US"/>
        </w:rPr>
        <w:t xml:space="preserve">Exploratory Factor Analysis (EFA). The first subset of the collected sample was used to identify the number of components underlying the personality items in our dataset, with a top-down approach as proposed by Goldberg (2006). This means that a series of EFAs was run within each item group allocated to a specific Big Five domain. </w:t>
      </w:r>
      <w:proofErr w:type="spellStart"/>
      <w:r w:rsidRPr="000C33CF">
        <w:rPr>
          <w:rFonts w:ascii="Times New Roman" w:hAnsi="Times New Roman" w:cs="Times New Roman"/>
          <w:iCs/>
          <w:lang w:val="en-US"/>
        </w:rPr>
        <w:t>Velicer’s</w:t>
      </w:r>
      <w:proofErr w:type="spellEnd"/>
      <w:r w:rsidRPr="000C33CF">
        <w:rPr>
          <w:rFonts w:ascii="Times New Roman" w:hAnsi="Times New Roman" w:cs="Times New Roman"/>
          <w:iCs/>
          <w:lang w:val="en-US"/>
        </w:rPr>
        <w:t xml:space="preserve"> (1976) Minimum Average Partial (MAP) and Horn’s (1965) Parallel Analysis (PA) methods were applied in order to guide the subsequent factor analysis. EFAs were calculated via </w:t>
      </w:r>
      <w:proofErr w:type="spellStart"/>
      <w:r w:rsidRPr="000C33CF">
        <w:rPr>
          <w:rFonts w:ascii="Times New Roman" w:hAnsi="Times New Roman" w:cs="Times New Roman"/>
          <w:iCs/>
          <w:lang w:val="en-US"/>
        </w:rPr>
        <w:t>Mplus</w:t>
      </w:r>
      <w:proofErr w:type="spellEnd"/>
      <w:r w:rsidRPr="000C33CF">
        <w:rPr>
          <w:rFonts w:ascii="Times New Roman" w:hAnsi="Times New Roman" w:cs="Times New Roman"/>
          <w:iCs/>
          <w:lang w:val="en-US"/>
        </w:rPr>
        <w:t xml:space="preserve"> (</w:t>
      </w:r>
      <w:proofErr w:type="spellStart"/>
      <w:r w:rsidRPr="000C33CF">
        <w:rPr>
          <w:rFonts w:ascii="Times New Roman" w:hAnsi="Times New Roman" w:cs="Times New Roman"/>
          <w:iCs/>
          <w:lang w:val="en-US"/>
        </w:rPr>
        <w:t>Muthen</w:t>
      </w:r>
      <w:proofErr w:type="spellEnd"/>
      <w:r w:rsidRPr="000C33CF">
        <w:rPr>
          <w:rFonts w:ascii="Times New Roman" w:hAnsi="Times New Roman" w:cs="Times New Roman"/>
          <w:iCs/>
          <w:lang w:val="en-US"/>
        </w:rPr>
        <w:t xml:space="preserve"> et al., 2012) using </w:t>
      </w:r>
      <w:proofErr w:type="spellStart"/>
      <w:r w:rsidRPr="000C33CF">
        <w:rPr>
          <w:rFonts w:ascii="Times New Roman" w:hAnsi="Times New Roman" w:cs="Times New Roman"/>
          <w:iCs/>
          <w:lang w:val="en-US"/>
        </w:rPr>
        <w:t>geomin</w:t>
      </w:r>
      <w:proofErr w:type="spellEnd"/>
      <w:r w:rsidRPr="000C33CF">
        <w:rPr>
          <w:rFonts w:ascii="Times New Roman" w:hAnsi="Times New Roman" w:cs="Times New Roman"/>
          <w:iCs/>
          <w:lang w:val="en-US"/>
        </w:rPr>
        <w:t xml:space="preserve"> rotation and Maximum Likelihood (ML) estimation. Decisions to retain facets were partly based on model fit information (CFI, RMSEA, SRMR) and partly on the interpretability of the facet solution. Additionally, alternative facet models inspired from other personality measures were considered and compared to the facet structure found. In case of omission of relevant content captured in other models, new items were added a-posteriori.</w:t>
      </w:r>
    </w:p>
    <w:p w:rsidR="000C33CF" w:rsidRPr="000C33CF" w:rsidRDefault="000C33CF" w:rsidP="000C33CF">
      <w:pPr>
        <w:spacing w:line="480" w:lineRule="auto"/>
        <w:ind w:firstLine="709"/>
        <w:rPr>
          <w:rFonts w:ascii="Times New Roman" w:hAnsi="Times New Roman" w:cs="Times New Roman"/>
          <w:iCs/>
          <w:lang w:val="en-US"/>
        </w:rPr>
      </w:pPr>
      <w:r w:rsidRPr="000C33CF">
        <w:rPr>
          <w:rFonts w:ascii="Times New Roman" w:hAnsi="Times New Roman" w:cs="Times New Roman"/>
          <w:iCs/>
          <w:lang w:val="en-US"/>
        </w:rPr>
        <w:t xml:space="preserve">Reliability. Cronbach’s </w:t>
      </w:r>
      <m:oMath>
        <m:r>
          <m:rPr>
            <m:sty m:val="p"/>
          </m:rPr>
          <w:rPr>
            <w:rFonts w:ascii="Cambria Math" w:hAnsi="Cambria Math" w:cs="Times New Roman"/>
            <w:lang w:val="en-US"/>
          </w:rPr>
          <m:t>α</m:t>
        </m:r>
      </m:oMath>
      <w:r w:rsidRPr="000C33CF">
        <w:rPr>
          <w:rFonts w:ascii="Times New Roman" w:hAnsi="Times New Roman" w:cs="Times New Roman"/>
          <w:iCs/>
          <w:lang w:val="en-US"/>
        </w:rPr>
        <w:t xml:space="preserve"> and McDonald’s </w:t>
      </w:r>
      <m:oMath>
        <m:r>
          <m:rPr>
            <m:sty m:val="p"/>
          </m:rPr>
          <w:rPr>
            <w:rFonts w:ascii="Cambria Math" w:hAnsi="Cambria Math" w:cs="Times New Roman"/>
            <w:lang w:val="en-US"/>
          </w:rPr>
          <m:t>ω</m:t>
        </m:r>
      </m:oMath>
      <w:r w:rsidRPr="000C33CF">
        <w:rPr>
          <w:rFonts w:ascii="Times New Roman" w:hAnsi="Times New Roman" w:cs="Times New Roman"/>
          <w:iCs/>
          <w:lang w:val="en-US"/>
        </w:rPr>
        <w:t xml:space="preserve"> were estimated for each facet score to provide evidence for the test scores’ internal consistency. For the domains, only McDonald’s </w:t>
      </w:r>
      <m:oMath>
        <m:r>
          <m:rPr>
            <m:sty m:val="p"/>
          </m:rPr>
          <w:rPr>
            <w:rFonts w:ascii="Cambria Math" w:hAnsi="Cambria Math" w:cs="Times New Roman"/>
            <w:lang w:val="en-US"/>
          </w:rPr>
          <m:t>ω</m:t>
        </m:r>
      </m:oMath>
      <w:r w:rsidRPr="000C33CF">
        <w:rPr>
          <w:rFonts w:ascii="Times New Roman" w:hAnsi="Times New Roman" w:cs="Times New Roman"/>
          <w:iCs/>
          <w:lang w:val="en-US"/>
        </w:rPr>
        <w:t xml:space="preserve"> was estimated. The second subsample was used to compute these statistics.</w:t>
      </w:r>
    </w:p>
    <w:p w:rsidR="000C33CF" w:rsidRPr="000C33CF" w:rsidRDefault="000C33CF" w:rsidP="000C33CF">
      <w:pPr>
        <w:spacing w:line="480" w:lineRule="auto"/>
        <w:ind w:firstLine="709"/>
        <w:rPr>
          <w:rFonts w:ascii="Times New Roman" w:hAnsi="Times New Roman" w:cs="Times New Roman"/>
          <w:iCs/>
          <w:lang w:val="en-US"/>
        </w:rPr>
      </w:pPr>
      <w:bookmarkStart w:id="0" w:name="cfa-and-esem-with-subsample-1"/>
      <w:bookmarkEnd w:id="0"/>
      <w:r w:rsidRPr="000C33CF">
        <w:rPr>
          <w:rFonts w:ascii="Times New Roman" w:hAnsi="Times New Roman" w:cs="Times New Roman"/>
          <w:iCs/>
          <w:lang w:val="en-US"/>
        </w:rPr>
        <w:t xml:space="preserve">Confirmatory Factor Analysis (CFA). To verify the structure outlined by EFAs, one CFA per facet was fitted using the second subsample. We restricted the number of possible indicators to a maximum of five per facet in order to obtain facets as balanced as possible (Ziegler, 2014). This selection was done based on item content and pattern of the factor loading matrix. CFAs were fitted using WLSMV (Weighted Least Squares adjusted for Means and Variances) for ordered indicators due to floor and ceiling effects on some item’s response distribution. Model fit was determined based on the usual </w:t>
      </w:r>
      <w:r w:rsidRPr="000C33CF">
        <w:rPr>
          <w:rFonts w:ascii="Times New Roman" w:hAnsi="Times New Roman" w:cs="Times New Roman"/>
          <w:iCs/>
          <w:lang w:val="en-US"/>
        </w:rPr>
        <w:lastRenderedPageBreak/>
        <w:t xml:space="preserve">goodness-of-fit indicators: </w:t>
      </w:r>
      <w:proofErr w:type="gramStart"/>
      <w:r w:rsidRPr="000C33CF">
        <w:rPr>
          <w:rFonts w:ascii="Times New Roman" w:hAnsi="Times New Roman" w:cs="Times New Roman"/>
          <w:iCs/>
          <w:lang w:val="en-US"/>
        </w:rPr>
        <w:t>the</w:t>
      </w:r>
      <w:proofErr w:type="gramEnd"/>
      <w:r w:rsidRPr="000C33CF">
        <w:rPr>
          <w:rFonts w:ascii="Times New Roman" w:hAnsi="Times New Roman" w:cs="Times New Roman"/>
          <w:iCs/>
          <w:lang w:val="en-US"/>
        </w:rPr>
        <w:t xml:space="preserve"> Cumulative Fit Index (CFI), for which a score &gt; 0.95 indicates adequate fit; the Root Mean Square of Approximation (RMSEA), for which a value &lt; 0.06 indicates approximate fit; and the Standardized Root Mean Residual (SRMR), for which a value &lt; 0.05 indicates adequate fit. </w:t>
      </w:r>
    </w:p>
    <w:p w:rsidR="000C33CF" w:rsidRPr="000C33CF" w:rsidRDefault="000C33CF" w:rsidP="000C33CF">
      <w:pPr>
        <w:spacing w:line="480" w:lineRule="auto"/>
        <w:ind w:firstLine="709"/>
        <w:rPr>
          <w:rFonts w:ascii="Times New Roman" w:hAnsi="Times New Roman" w:cs="Times New Roman"/>
          <w:iCs/>
          <w:lang w:val="en-US"/>
        </w:rPr>
      </w:pPr>
      <w:r w:rsidRPr="000C33CF">
        <w:rPr>
          <w:rFonts w:ascii="Times New Roman" w:hAnsi="Times New Roman" w:cs="Times New Roman"/>
          <w:iCs/>
          <w:lang w:val="en-US"/>
        </w:rPr>
        <w:t>Exploratory Structural Equation Modelling (ESEM). In a third step with the second subsample, the higher order structure of the facets was tested with ESEM (</w:t>
      </w:r>
      <w:proofErr w:type="spellStart"/>
      <w:r w:rsidRPr="000C33CF">
        <w:rPr>
          <w:rFonts w:ascii="Times New Roman" w:hAnsi="Times New Roman" w:cs="Times New Roman"/>
          <w:iCs/>
          <w:lang w:val="en-US"/>
        </w:rPr>
        <w:t>Asparouhov</w:t>
      </w:r>
      <w:proofErr w:type="spellEnd"/>
      <w:r w:rsidRPr="000C33CF">
        <w:rPr>
          <w:rFonts w:ascii="Times New Roman" w:hAnsi="Times New Roman" w:cs="Times New Roman"/>
          <w:iCs/>
          <w:lang w:val="en-US"/>
        </w:rPr>
        <w:t xml:space="preserve"> et al., 2009) using facet scores as indicators of the five domains. ESEM was the preferred procedure as it allows to relax the too strict independent clusters model in which CFA is usually performed (Marsh et al., 2010), allowing cross-loadings that would be otherwise constrained to zero, thereby accommodating personality data more realistically. As a control mechanism for content-validity, we eliminated any facet with non-significant loadings from its intended domain. The ESEM model was fitted using </w:t>
      </w:r>
      <w:proofErr w:type="spellStart"/>
      <w:r w:rsidRPr="000C33CF">
        <w:rPr>
          <w:rFonts w:ascii="Times New Roman" w:hAnsi="Times New Roman" w:cs="Times New Roman"/>
          <w:iCs/>
          <w:lang w:val="en-US"/>
        </w:rPr>
        <w:t>geomin</w:t>
      </w:r>
      <w:proofErr w:type="spellEnd"/>
      <w:r w:rsidRPr="000C33CF">
        <w:rPr>
          <w:rFonts w:ascii="Times New Roman" w:hAnsi="Times New Roman" w:cs="Times New Roman"/>
          <w:iCs/>
          <w:lang w:val="en-US"/>
        </w:rPr>
        <w:t xml:space="preserve"> oblique rotation and ML estimation. </w:t>
      </w:r>
    </w:p>
    <w:p w:rsidR="000C33CF" w:rsidRPr="000C33CF" w:rsidRDefault="000C33CF" w:rsidP="000C33CF">
      <w:pPr>
        <w:spacing w:line="480" w:lineRule="auto"/>
        <w:ind w:firstLine="709"/>
        <w:rPr>
          <w:rFonts w:ascii="Times New Roman" w:hAnsi="Times New Roman" w:cs="Times New Roman"/>
          <w:iCs/>
          <w:lang w:val="en-US"/>
        </w:rPr>
      </w:pPr>
      <w:r w:rsidRPr="000C33CF">
        <w:rPr>
          <w:rFonts w:ascii="Times New Roman" w:hAnsi="Times New Roman" w:cs="Times New Roman"/>
          <w:iCs/>
          <w:lang w:val="en-US"/>
        </w:rPr>
        <w:t>Nomological network. In order to examine preliminary evidence of construct validity of our proposed facet model, a nomological network linking our constructs with external outcomes was tested. This network was constructed by examining associations with a set of linear models and zero-order correlations. Pearson correlations were calculated for each outcome with both facets and domains’ scores. One linear model per domain and per criteria was fitted, using all facets included in the domains as predictors, but excluding the domain sum-scores. Standardized coefficients for each predictor (</w:t>
      </w:r>
      <w:r w:rsidRPr="000C33CF">
        <w:rPr>
          <w:rFonts w:ascii="Times New Roman" w:hAnsi="Times New Roman" w:cs="Times New Roman"/>
          <w:iCs/>
          <w:lang w:val="en-US"/>
        </w:rPr>
        <w:sym w:font="Symbol" w:char="F062"/>
      </w:r>
      <w:r w:rsidRPr="000C33CF">
        <w:rPr>
          <w:rFonts w:ascii="Times New Roman" w:hAnsi="Times New Roman" w:cs="Times New Roman"/>
          <w:iCs/>
          <w:lang w:val="en-US"/>
        </w:rPr>
        <w:t xml:space="preserve">) were reported, as well as the </w:t>
      </w:r>
      <m:oMath>
        <m:sSup>
          <m:sSupPr>
            <m:ctrlPr>
              <w:rPr>
                <w:rFonts w:ascii="Cambria Math" w:hAnsi="Cambria Math" w:cs="Times New Roman"/>
                <w:iCs/>
                <w:lang w:val="nl-BE"/>
              </w:rPr>
            </m:ctrlPr>
          </m:sSupPr>
          <m:e>
            <m:r>
              <m:rPr>
                <m:sty m:val="p"/>
              </m:rPr>
              <w:rPr>
                <w:rFonts w:ascii="Cambria Math" w:hAnsi="Cambria Math" w:cs="Times New Roman"/>
                <w:lang w:val="nl-BE"/>
              </w:rPr>
              <m:t>R</m:t>
            </m:r>
          </m:e>
          <m:sup>
            <m:r>
              <m:rPr>
                <m:sty m:val="p"/>
              </m:rPr>
              <w:rPr>
                <w:rFonts w:ascii="Cambria Math" w:hAnsi="Cambria Math" w:cs="Times New Roman"/>
                <w:lang w:val="nl-BE"/>
              </w:rPr>
              <m:t>2</m:t>
            </m:r>
          </m:sup>
        </m:sSup>
        <m:r>
          <m:rPr>
            <m:sty m:val="p"/>
          </m:rPr>
          <w:rPr>
            <w:rFonts w:ascii="Cambria Math" w:hAnsi="Cambria Math" w:cs="Times New Roman"/>
            <w:lang w:val="nl-BE"/>
          </w:rPr>
          <m:t xml:space="preserve"> </m:t>
        </m:r>
      </m:oMath>
      <w:r w:rsidRPr="000C33CF">
        <w:rPr>
          <w:rFonts w:ascii="Times New Roman" w:hAnsi="Times New Roman" w:cs="Times New Roman"/>
          <w:iCs/>
          <w:lang w:val="en-US"/>
        </w:rPr>
        <w:t xml:space="preserve">of the overall model -to represent associations at the domain level. </w:t>
      </w:r>
    </w:p>
    <w:p w:rsidR="000C33CF" w:rsidRPr="000C33CF" w:rsidRDefault="000C33CF" w:rsidP="000C33CF">
      <w:pPr>
        <w:spacing w:line="480" w:lineRule="auto"/>
        <w:ind w:firstLine="709"/>
        <w:rPr>
          <w:rFonts w:ascii="Times New Roman" w:hAnsi="Times New Roman" w:cs="Times New Roman"/>
          <w:iCs/>
          <w:lang w:val="en-US"/>
        </w:rPr>
      </w:pPr>
      <w:r w:rsidRPr="000C33CF">
        <w:rPr>
          <w:rFonts w:ascii="Times New Roman" w:hAnsi="Times New Roman" w:cs="Times New Roman"/>
          <w:iCs/>
          <w:lang w:val="en-US"/>
        </w:rPr>
        <w:t xml:space="preserve">To guide the interpretation of the nomological network results, a set of hypotheses derived from research summarized in the introduction were investigated: </w:t>
      </w:r>
    </w:p>
    <w:p w:rsidR="000C33CF" w:rsidRPr="000C33CF" w:rsidRDefault="000C33CF" w:rsidP="000C33CF">
      <w:pPr>
        <w:numPr>
          <w:ilvl w:val="0"/>
          <w:numId w:val="1"/>
        </w:numPr>
        <w:spacing w:line="480" w:lineRule="auto"/>
        <w:ind w:firstLine="709"/>
        <w:rPr>
          <w:rFonts w:ascii="Times New Roman" w:hAnsi="Times New Roman" w:cs="Times New Roman"/>
          <w:iCs/>
          <w:lang w:val="en-US"/>
        </w:rPr>
      </w:pPr>
      <w:r w:rsidRPr="000C33CF">
        <w:rPr>
          <w:rFonts w:ascii="Times New Roman" w:hAnsi="Times New Roman" w:cs="Times New Roman"/>
          <w:iCs/>
          <w:lang w:val="en-US"/>
        </w:rPr>
        <w:lastRenderedPageBreak/>
        <w:t xml:space="preserve">H1. SWL will be predicted by facets of emotional stability mimicking NEO-PI-R depression, and facets of extraversion covering positive emotions, with a big to moderate effect size, in line with </w:t>
      </w:r>
      <w:proofErr w:type="spellStart"/>
      <w:r w:rsidRPr="000C33CF">
        <w:rPr>
          <w:rFonts w:ascii="Times New Roman" w:hAnsi="Times New Roman" w:cs="Times New Roman"/>
          <w:iCs/>
          <w:lang w:val="en-US"/>
        </w:rPr>
        <w:t>Schimmack</w:t>
      </w:r>
      <w:proofErr w:type="spellEnd"/>
      <w:r w:rsidRPr="000C33CF">
        <w:rPr>
          <w:rFonts w:ascii="Times New Roman" w:hAnsi="Times New Roman" w:cs="Times New Roman"/>
          <w:iCs/>
          <w:lang w:val="en-US"/>
        </w:rPr>
        <w:t xml:space="preserve"> et al. (2004). Emotional stability and extraversion will be most important domains in the personality-SWL association.</w:t>
      </w:r>
    </w:p>
    <w:p w:rsidR="000C33CF" w:rsidRPr="000C33CF" w:rsidRDefault="000C33CF" w:rsidP="000C33CF">
      <w:pPr>
        <w:numPr>
          <w:ilvl w:val="0"/>
          <w:numId w:val="1"/>
        </w:numPr>
        <w:spacing w:line="480" w:lineRule="auto"/>
        <w:ind w:firstLine="709"/>
        <w:rPr>
          <w:rFonts w:ascii="Times New Roman" w:hAnsi="Times New Roman" w:cs="Times New Roman"/>
          <w:iCs/>
          <w:lang w:val="en-US"/>
        </w:rPr>
      </w:pPr>
      <w:r w:rsidRPr="000C33CF">
        <w:rPr>
          <w:rFonts w:ascii="Times New Roman" w:hAnsi="Times New Roman" w:cs="Times New Roman"/>
          <w:iCs/>
          <w:lang w:val="en-US"/>
        </w:rPr>
        <w:t>H2. Conscientiousness will be associated with academic achievement with a small to moderate effect size. Openness will entail facets with positive effects and facets with negative effects on GPA scores.</w:t>
      </w:r>
    </w:p>
    <w:p w:rsidR="000C33CF" w:rsidRPr="000C33CF" w:rsidRDefault="000C33CF" w:rsidP="000C33CF">
      <w:pPr>
        <w:numPr>
          <w:ilvl w:val="0"/>
          <w:numId w:val="1"/>
        </w:numPr>
        <w:spacing w:line="480" w:lineRule="auto"/>
        <w:ind w:firstLine="709"/>
        <w:rPr>
          <w:rFonts w:ascii="Times New Roman" w:hAnsi="Times New Roman" w:cs="Times New Roman"/>
          <w:iCs/>
          <w:lang w:val="en-US"/>
        </w:rPr>
      </w:pPr>
      <w:r w:rsidRPr="000C33CF">
        <w:rPr>
          <w:rFonts w:ascii="Times New Roman" w:hAnsi="Times New Roman" w:cs="Times New Roman"/>
          <w:iCs/>
          <w:lang w:val="en-US"/>
        </w:rPr>
        <w:t xml:space="preserve">H3. Conscientiousness will yield the strongest associations with </w:t>
      </w:r>
      <w:proofErr w:type="spellStart"/>
      <w:r w:rsidRPr="000C33CF">
        <w:rPr>
          <w:rFonts w:ascii="Times New Roman" w:hAnsi="Times New Roman" w:cs="Times New Roman"/>
          <w:iCs/>
          <w:lang w:val="en-US"/>
        </w:rPr>
        <w:t>abseentism</w:t>
      </w:r>
      <w:proofErr w:type="spellEnd"/>
      <w:r w:rsidRPr="000C33CF">
        <w:rPr>
          <w:rFonts w:ascii="Times New Roman" w:hAnsi="Times New Roman" w:cs="Times New Roman"/>
          <w:iCs/>
          <w:lang w:val="en-US"/>
        </w:rPr>
        <w:t xml:space="preserve"> at the domain level, and facets tapping volitional components such as goal orientation or wish to work will outstand. Some specific facets of openness and of extraversion will also be significantly associated with </w:t>
      </w:r>
      <w:proofErr w:type="spellStart"/>
      <w:r w:rsidRPr="000C33CF">
        <w:rPr>
          <w:rFonts w:ascii="Times New Roman" w:hAnsi="Times New Roman" w:cs="Times New Roman"/>
          <w:iCs/>
          <w:lang w:val="en-US"/>
        </w:rPr>
        <w:t>abseentism</w:t>
      </w:r>
      <w:proofErr w:type="spellEnd"/>
      <w:r w:rsidRPr="000C33CF">
        <w:rPr>
          <w:rFonts w:ascii="Times New Roman" w:hAnsi="Times New Roman" w:cs="Times New Roman"/>
          <w:iCs/>
          <w:lang w:val="en-US"/>
        </w:rPr>
        <w:t xml:space="preserve">. Overall, the facet level will provide a clearer picture to predict academic </w:t>
      </w:r>
      <w:proofErr w:type="spellStart"/>
      <w:r w:rsidRPr="000C33CF">
        <w:rPr>
          <w:rFonts w:ascii="Times New Roman" w:hAnsi="Times New Roman" w:cs="Times New Roman"/>
          <w:iCs/>
          <w:lang w:val="en-US"/>
        </w:rPr>
        <w:t>abseentism</w:t>
      </w:r>
      <w:proofErr w:type="spellEnd"/>
      <w:r w:rsidRPr="000C33CF">
        <w:rPr>
          <w:rFonts w:ascii="Times New Roman" w:hAnsi="Times New Roman" w:cs="Times New Roman"/>
          <w:iCs/>
          <w:lang w:val="en-US"/>
        </w:rPr>
        <w:t xml:space="preserve"> from personality than the domain level.</w:t>
      </w:r>
    </w:p>
    <w:p w:rsidR="007A5FCD" w:rsidRPr="000C33CF" w:rsidRDefault="00352D4C" w:rsidP="000C33CF">
      <w:pPr>
        <w:spacing w:line="480" w:lineRule="auto"/>
        <w:ind w:firstLine="709"/>
        <w:rPr>
          <w:rFonts w:ascii="Times New Roman" w:hAnsi="Times New Roman" w:cs="Times New Roman"/>
          <w:iCs/>
          <w:lang w:val="en-US"/>
        </w:rPr>
      </w:pPr>
    </w:p>
    <w:sectPr w:rsidR="007A5FCD" w:rsidRPr="000C33CF" w:rsidSect="007F5F1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600BEE"/>
    <w:multiLevelType w:val="hybridMultilevel"/>
    <w:tmpl w:val="069255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CF"/>
    <w:rsid w:val="000C33CF"/>
    <w:rsid w:val="00352D4C"/>
    <w:rsid w:val="007F5F1A"/>
    <w:rsid w:val="00C609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C16C2DA-DDE9-A549-8520-2A7EC40F4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next w:val="Textoindependiente"/>
    <w:link w:val="Ttulo4Car"/>
    <w:uiPriority w:val="9"/>
    <w:unhideWhenUsed/>
    <w:qFormat/>
    <w:rsid w:val="000C33CF"/>
    <w:pPr>
      <w:keepNext/>
      <w:keepLines/>
      <w:spacing w:before="180" w:after="240" w:line="480" w:lineRule="auto"/>
      <w:ind w:firstLine="680"/>
      <w:outlineLvl w:val="3"/>
    </w:pPr>
    <w:rPr>
      <w:rFonts w:ascii="Times New Roman" w:eastAsiaTheme="majorEastAsia" w:hAnsi="Times New Roman" w:cstheme="majorBidi"/>
      <w:b/>
      <w:bCs/>
      <w:i/>
      <w:lang w:val="en-US"/>
    </w:rPr>
  </w:style>
  <w:style w:type="paragraph" w:styleId="Ttulo5">
    <w:name w:val="heading 5"/>
    <w:basedOn w:val="Normal"/>
    <w:next w:val="Normal"/>
    <w:link w:val="Ttulo5Car"/>
    <w:uiPriority w:val="9"/>
    <w:semiHidden/>
    <w:unhideWhenUsed/>
    <w:qFormat/>
    <w:rsid w:val="000C33CF"/>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0C33CF"/>
    <w:rPr>
      <w:rFonts w:ascii="Times New Roman" w:eastAsiaTheme="majorEastAsia" w:hAnsi="Times New Roman" w:cstheme="majorBidi"/>
      <w:b/>
      <w:bCs/>
      <w:i/>
      <w:lang w:val="en-US"/>
    </w:rPr>
  </w:style>
  <w:style w:type="paragraph" w:styleId="Textoindependiente">
    <w:name w:val="Body Text"/>
    <w:basedOn w:val="Normal"/>
    <w:link w:val="TextoindependienteCar"/>
    <w:uiPriority w:val="99"/>
    <w:semiHidden/>
    <w:unhideWhenUsed/>
    <w:rsid w:val="000C33CF"/>
    <w:pPr>
      <w:spacing w:after="120"/>
    </w:pPr>
  </w:style>
  <w:style w:type="character" w:customStyle="1" w:styleId="TextoindependienteCar">
    <w:name w:val="Texto independiente Car"/>
    <w:basedOn w:val="Fuentedeprrafopredeter"/>
    <w:link w:val="Textoindependiente"/>
    <w:uiPriority w:val="99"/>
    <w:semiHidden/>
    <w:rsid w:val="000C33CF"/>
  </w:style>
  <w:style w:type="character" w:customStyle="1" w:styleId="Ttulo5Car">
    <w:name w:val="Título 5 Car"/>
    <w:basedOn w:val="Fuentedeprrafopredeter"/>
    <w:link w:val="Ttulo5"/>
    <w:uiPriority w:val="9"/>
    <w:semiHidden/>
    <w:rsid w:val="000C33C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722</Words>
  <Characters>3976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Rouco</dc:creator>
  <cp:keywords/>
  <dc:description/>
  <cp:lastModifiedBy>Victor Rouco</cp:lastModifiedBy>
  <cp:revision>1</cp:revision>
  <dcterms:created xsi:type="dcterms:W3CDTF">2020-12-08T16:11:00Z</dcterms:created>
  <dcterms:modified xsi:type="dcterms:W3CDTF">2020-12-09T10:01:00Z</dcterms:modified>
</cp:coreProperties>
</file>