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3CF" w:rsidRPr="000C33CF" w:rsidRDefault="000C33CF" w:rsidP="000C33CF">
      <w:pPr>
        <w:pStyle w:val="Ttulo4"/>
        <w:keepNext w:val="0"/>
        <w:keepLines w:val="0"/>
        <w:widowControl w:val="0"/>
        <w:spacing w:before="0" w:after="0"/>
        <w:ind w:firstLine="709"/>
        <w:rPr>
          <w:rFonts w:cs="Times New Roman"/>
          <w:i w:val="0"/>
          <w:iCs/>
        </w:rPr>
      </w:pPr>
      <w:r w:rsidRPr="000C33CF">
        <w:rPr>
          <w:rFonts w:cs="Times New Roman"/>
          <w:i w:val="0"/>
          <w:iCs/>
        </w:rPr>
        <w:t>Statistical Analyses</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Exploratory Factor Analysis (EFA). The first subset of the collected sample was used to identify the number of components underlying the personality items in our dataset, with a top-down approach as proposed by Goldberg (2006). This means that a series of EFAs was run within each item group allocated to a specific Big Five domain. </w:t>
      </w:r>
      <w:proofErr w:type="spellStart"/>
      <w:r w:rsidRPr="000C33CF">
        <w:rPr>
          <w:rFonts w:ascii="Times New Roman" w:hAnsi="Times New Roman" w:cs="Times New Roman"/>
          <w:iCs/>
          <w:lang w:val="en-US"/>
        </w:rPr>
        <w:t>Velicer’s</w:t>
      </w:r>
      <w:proofErr w:type="spellEnd"/>
      <w:r w:rsidRPr="000C33CF">
        <w:rPr>
          <w:rFonts w:ascii="Times New Roman" w:hAnsi="Times New Roman" w:cs="Times New Roman"/>
          <w:iCs/>
          <w:lang w:val="en-US"/>
        </w:rPr>
        <w:t xml:space="preserve"> (1976) Minimum Average Partial (MAP) and Horn’s (1965) Parallel Analysis (PA) methods were applied in order to guide the subsequent factor analysis. EFAs were calculated via </w:t>
      </w:r>
      <w:proofErr w:type="spellStart"/>
      <w:r w:rsidRPr="000C33CF">
        <w:rPr>
          <w:rFonts w:ascii="Times New Roman" w:hAnsi="Times New Roman" w:cs="Times New Roman"/>
          <w:iCs/>
          <w:lang w:val="en-US"/>
        </w:rPr>
        <w:t>Mplus</w:t>
      </w:r>
      <w:proofErr w:type="spellEnd"/>
      <w:r w:rsidRPr="000C33CF">
        <w:rPr>
          <w:rFonts w:ascii="Times New Roman" w:hAnsi="Times New Roman" w:cs="Times New Roman"/>
          <w:iCs/>
          <w:lang w:val="en-US"/>
        </w:rPr>
        <w:t xml:space="preserve"> (</w:t>
      </w:r>
      <w:proofErr w:type="spellStart"/>
      <w:r w:rsidRPr="000C33CF">
        <w:rPr>
          <w:rFonts w:ascii="Times New Roman" w:hAnsi="Times New Roman" w:cs="Times New Roman"/>
          <w:iCs/>
          <w:lang w:val="en-US"/>
        </w:rPr>
        <w:t>Muthen</w:t>
      </w:r>
      <w:proofErr w:type="spellEnd"/>
      <w:r w:rsidRPr="000C33CF">
        <w:rPr>
          <w:rFonts w:ascii="Times New Roman" w:hAnsi="Times New Roman" w:cs="Times New Roman"/>
          <w:iCs/>
          <w:lang w:val="en-US"/>
        </w:rPr>
        <w:t xml:space="preserve"> et al., 2012)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rotation and Maximum Likelihood (ML) estimation. Decisions to retain facets were partly based on model fit information (CFI, RMSEA, SRMR) and partly on the interpretability of the facet solution. Additionally, alternative facet models inspired from other personality measures were considered and compared to the facet structure found. In case of omission of relevant content captured in other models, new items were added a-posteriori.</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Reliability. Cronbach’s </w:t>
      </w:r>
      <m:oMath>
        <m:r>
          <m:rPr>
            <m:sty m:val="p"/>
          </m:rPr>
          <w:rPr>
            <w:rFonts w:ascii="Cambria Math" w:hAnsi="Cambria Math" w:cs="Times New Roman"/>
            <w:lang w:val="en-US"/>
          </w:rPr>
          <m:t>α</m:t>
        </m:r>
      </m:oMath>
      <w:r w:rsidRPr="000C33CF">
        <w:rPr>
          <w:rFonts w:ascii="Times New Roman" w:hAnsi="Times New Roman" w:cs="Times New Roman"/>
          <w:iCs/>
          <w:lang w:val="en-US"/>
        </w:rPr>
        <w:t xml:space="preserve"> and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were estimated for each facet score to provide evidence for the test scores’ internal consistency. For the domains, only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was estimated. The second subsample was used to compute these statistics.</w:t>
      </w:r>
    </w:p>
    <w:p w:rsidR="000C33CF" w:rsidRPr="000C33CF" w:rsidRDefault="000C33CF" w:rsidP="000C33CF">
      <w:pPr>
        <w:spacing w:line="480" w:lineRule="auto"/>
        <w:ind w:firstLine="709"/>
        <w:rPr>
          <w:rFonts w:ascii="Times New Roman" w:hAnsi="Times New Roman" w:cs="Times New Roman"/>
          <w:iCs/>
          <w:lang w:val="en-US"/>
        </w:rPr>
      </w:pPr>
      <w:bookmarkStart w:id="0" w:name="cfa-and-esem-with-subsample-1"/>
      <w:bookmarkEnd w:id="0"/>
      <w:r w:rsidRPr="000C33CF">
        <w:rPr>
          <w:rFonts w:ascii="Times New Roman" w:hAnsi="Times New Roman" w:cs="Times New Roman"/>
          <w:iCs/>
          <w:lang w:val="en-US"/>
        </w:rPr>
        <w:t xml:space="preserve">Confirmatory Factor Analysis (CFA). To verify the structure outlined by EFAs, one CFA per facet was fitted using the second subsample. We restricted the number of possible indicators to a maximum of five per facet in order to obtain facets as balanced as possible (Ziegler, 2014). This selection was done based on item content and pattern of the factor loading matrix. CFAs were fitted using WLSMV (Weighted Least Squares adjusted for Means and Variances) for ordered indicators due to floor and ceiling effects on some item’s response distribution. Model fit was determined based on the usual </w:t>
      </w:r>
      <w:r w:rsidRPr="000C33CF">
        <w:rPr>
          <w:rFonts w:ascii="Times New Roman" w:hAnsi="Times New Roman" w:cs="Times New Roman"/>
          <w:iCs/>
          <w:lang w:val="en-US"/>
        </w:rPr>
        <w:lastRenderedPageBreak/>
        <w:t xml:space="preserve">goodness-of-fit indicators: the Cumulative Fit Index (CFI), for which a score &gt; 0.95 indicates adequate fit; the Root Mean Square of Approximation (RMSEA), for which a value &lt; 0.06 indicates approximate fit; and the Standardized Root Mean Residual (SRMR), for which a value &lt; 0.05 indicates adequate fit.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Exploratory Structural Equation Modelling (ESEM). In a third step with the second subsample, the higher order structure of the facets was tested with ESEM (</w:t>
      </w:r>
      <w:proofErr w:type="spellStart"/>
      <w:r w:rsidRPr="000C33CF">
        <w:rPr>
          <w:rFonts w:ascii="Times New Roman" w:hAnsi="Times New Roman" w:cs="Times New Roman"/>
          <w:iCs/>
          <w:lang w:val="en-US"/>
        </w:rPr>
        <w:t>Asparouhov</w:t>
      </w:r>
      <w:proofErr w:type="spellEnd"/>
      <w:r w:rsidRPr="000C33CF">
        <w:rPr>
          <w:rFonts w:ascii="Times New Roman" w:hAnsi="Times New Roman" w:cs="Times New Roman"/>
          <w:iCs/>
          <w:lang w:val="en-US"/>
        </w:rPr>
        <w:t xml:space="preserve"> et al., 2009) using facet scores as indicators of the five domains. ESEM was the preferred procedure as it allows to relax the too strict independent clusters model in which CFA is usually performed (Marsh et al., 2010), allowing cross-loadings that would be otherwise constrained to zero, thereby accommodating personality data more realistically. As a control mechanism for content-validity, we eliminated any facet with non-significant loadings from its intended domain. The ESEM model was fitted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oblique rotation and ML estimation.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Nomological network. In order to examine preliminary evidence of construct validity of our proposed facet model, a nomological network linking our constructs with external outcomes was tested. This network was constructed by examining associations with a set of linear models and zero-order correlations. Pearson correlations were calculated for each outcome with both facets and domains’ scores. One linear model per domain and per criteria was fitted, using all facets included in the domains as predictors, but excluding the domain sum-scores. Standardized coefficients for each predictor (</w:t>
      </w:r>
      <w:r w:rsidRPr="000C33CF">
        <w:rPr>
          <w:rFonts w:ascii="Times New Roman" w:hAnsi="Times New Roman" w:cs="Times New Roman"/>
          <w:iCs/>
          <w:lang w:val="en-US"/>
        </w:rPr>
        <w:sym w:font="Symbol" w:char="F062"/>
      </w:r>
      <w:r w:rsidRPr="000C33CF">
        <w:rPr>
          <w:rFonts w:ascii="Times New Roman" w:hAnsi="Times New Roman" w:cs="Times New Roman"/>
          <w:iCs/>
          <w:lang w:val="en-US"/>
        </w:rPr>
        <w:t xml:space="preserve">) were reported, as well as the </w:t>
      </w:r>
      <m:oMath>
        <m:sSup>
          <m:sSupPr>
            <m:ctrlPr>
              <w:rPr>
                <w:rFonts w:ascii="Cambria Math" w:hAnsi="Cambria Math" w:cs="Times New Roman"/>
                <w:iCs/>
                <w:lang w:val="nl-BE"/>
              </w:rPr>
            </m:ctrlPr>
          </m:sSupPr>
          <m:e>
            <m:r>
              <m:rPr>
                <m:sty m:val="p"/>
              </m:rPr>
              <w:rPr>
                <w:rFonts w:ascii="Cambria Math" w:hAnsi="Cambria Math" w:cs="Times New Roman"/>
                <w:lang w:val="nl-BE"/>
              </w:rPr>
              <m:t>R</m:t>
            </m:r>
          </m:e>
          <m:sup>
            <m:r>
              <m:rPr>
                <m:sty m:val="p"/>
              </m:rPr>
              <w:rPr>
                <w:rFonts w:ascii="Cambria Math" w:hAnsi="Cambria Math" w:cs="Times New Roman"/>
                <w:lang w:val="nl-BE"/>
              </w:rPr>
              <m:t>2</m:t>
            </m:r>
          </m:sup>
        </m:sSup>
        <m:r>
          <m:rPr>
            <m:sty m:val="p"/>
          </m:rPr>
          <w:rPr>
            <w:rFonts w:ascii="Cambria Math" w:hAnsi="Cambria Math" w:cs="Times New Roman"/>
            <w:lang w:val="nl-BE"/>
          </w:rPr>
          <m:t xml:space="preserve"> </m:t>
        </m:r>
      </m:oMath>
      <w:r w:rsidRPr="000C33CF">
        <w:rPr>
          <w:rFonts w:ascii="Times New Roman" w:hAnsi="Times New Roman" w:cs="Times New Roman"/>
          <w:iCs/>
          <w:lang w:val="en-US"/>
        </w:rPr>
        <w:t xml:space="preserve">of the overall model -to represent associations at the domain level.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To guide the interpretation of the nomological network results, a set of hypotheses derived from research summarized in the introduction were investigated: </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lastRenderedPageBreak/>
        <w:t xml:space="preserve">H1. SWL will be predicted by facets of emotional stability mimicking NEO-PI-R depression, and facets of extraversion covering positive emotions, with a big to moderate effect size, in line with </w:t>
      </w:r>
      <w:proofErr w:type="spellStart"/>
      <w:r w:rsidRPr="000C33CF">
        <w:rPr>
          <w:rFonts w:ascii="Times New Roman" w:hAnsi="Times New Roman" w:cs="Times New Roman"/>
          <w:iCs/>
          <w:lang w:val="en-US"/>
        </w:rPr>
        <w:t>Schimmack</w:t>
      </w:r>
      <w:proofErr w:type="spellEnd"/>
      <w:r w:rsidRPr="000C33CF">
        <w:rPr>
          <w:rFonts w:ascii="Times New Roman" w:hAnsi="Times New Roman" w:cs="Times New Roman"/>
          <w:iCs/>
          <w:lang w:val="en-US"/>
        </w:rPr>
        <w:t xml:space="preserve"> et al. (2004). Emotional stability and extraversion will be most important domains in the personality-SWL association.</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H2. Conscientiousness will be associated with academic achievement with a small to moderate effect size. Openness will entail facets with positive effects and facets with negative effects on GPA scores.</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H3. Conscientiousness will yield the strongest associations with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at the domain level, and facets tapping volitional components such as goal orientation or wish to work will outstand. Some specific facets of openness and of extraversion will also be significantly associated with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Overall, the facet level will provide a clearer picture to predict academic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from personality than the domain level.</w:t>
      </w:r>
    </w:p>
    <w:p w:rsidR="007A5FCD" w:rsidRDefault="005C7365" w:rsidP="000C33CF">
      <w:pPr>
        <w:spacing w:line="480" w:lineRule="auto"/>
        <w:ind w:firstLine="709"/>
        <w:rPr>
          <w:rFonts w:ascii="Times New Roman" w:hAnsi="Times New Roman" w:cs="Times New Roman"/>
          <w:iCs/>
          <w:lang w:val="en-US"/>
        </w:rPr>
      </w:pPr>
    </w:p>
    <w:p w:rsidR="005C7365" w:rsidRDefault="005C7365" w:rsidP="005C7365">
      <w:pPr>
        <w:spacing w:line="480" w:lineRule="auto"/>
        <w:ind w:firstLine="709"/>
        <w:jc w:val="center"/>
        <w:rPr>
          <w:rFonts w:ascii="Times New Roman" w:hAnsi="Times New Roman" w:cs="Times New Roman"/>
          <w:b/>
          <w:bCs/>
          <w:iCs/>
          <w:lang w:val="en-US"/>
        </w:rPr>
      </w:pPr>
      <w:r w:rsidRPr="005C7365">
        <w:rPr>
          <w:rFonts w:ascii="Times New Roman" w:hAnsi="Times New Roman" w:cs="Times New Roman"/>
          <w:b/>
          <w:bCs/>
          <w:iCs/>
          <w:lang w:val="en-US"/>
        </w:rPr>
        <w:t>References</w:t>
      </w:r>
    </w:p>
    <w:p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&amp;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B. (2009). Exploratory structural equation modeling. Structural equation modeling: a multidisciplinary journal, 16(3), 397-438.doi:10.1080/10705510903008204</w:t>
      </w:r>
    </w:p>
    <w:p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Goldberg, L. R. (2006). Doing it all bass-</w:t>
      </w:r>
      <w:proofErr w:type="spellStart"/>
      <w:r w:rsidRPr="005C7365">
        <w:rPr>
          <w:rFonts w:ascii="Times New Roman" w:hAnsi="Times New Roman" w:cs="Times New Roman"/>
          <w:iCs/>
          <w:lang w:val="en-US"/>
        </w:rPr>
        <w:t>ackwards</w:t>
      </w:r>
      <w:proofErr w:type="spellEnd"/>
      <w:r w:rsidRPr="005C7365">
        <w:rPr>
          <w:rFonts w:ascii="Times New Roman" w:hAnsi="Times New Roman" w:cs="Times New Roman"/>
          <w:iCs/>
          <w:lang w:val="en-US"/>
        </w:rPr>
        <w:t>: The development of hierarchical factor structures from the top down. Journal of research in personality, 40(4), 347-358.</w:t>
      </w:r>
    </w:p>
    <w:p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 xml:space="preserve">Horn, J. L. (1965). A rationale and test for the number of factors in factor analysis. </w:t>
      </w:r>
      <w:proofErr w:type="spellStart"/>
      <w:r w:rsidRPr="005C7365">
        <w:rPr>
          <w:rFonts w:ascii="Times New Roman" w:hAnsi="Times New Roman" w:cs="Times New Roman"/>
          <w:iCs/>
          <w:lang w:val="en-US"/>
        </w:rPr>
        <w:t>Psychometrika</w:t>
      </w:r>
      <w:proofErr w:type="spellEnd"/>
      <w:r w:rsidRPr="005C7365">
        <w:rPr>
          <w:rFonts w:ascii="Times New Roman" w:hAnsi="Times New Roman" w:cs="Times New Roman"/>
          <w:iCs/>
          <w:lang w:val="en-US"/>
        </w:rPr>
        <w:t>, 30(2), 179–185. doi:10.1007/BF02289447</w:t>
      </w:r>
    </w:p>
    <w:p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lastRenderedPageBreak/>
        <w:t xml:space="preserve">Marsh, H. W., </w:t>
      </w:r>
      <w:proofErr w:type="spellStart"/>
      <w:r w:rsidRPr="005C7365">
        <w:rPr>
          <w:rFonts w:ascii="Times New Roman" w:hAnsi="Times New Roman" w:cs="Times New Roman"/>
          <w:iCs/>
          <w:lang w:val="en-US"/>
        </w:rPr>
        <w:t>Lüdtke</w:t>
      </w:r>
      <w:proofErr w:type="spellEnd"/>
      <w:r w:rsidRPr="005C7365">
        <w:rPr>
          <w:rFonts w:ascii="Times New Roman" w:hAnsi="Times New Roman" w:cs="Times New Roman"/>
          <w:iCs/>
          <w:lang w:val="en-US"/>
        </w:rPr>
        <w:t xml:space="preserve">, O.,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xml:space="preserve">, B., </w:t>
      </w: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Morin, A. J., </w:t>
      </w:r>
      <w:proofErr w:type="spellStart"/>
      <w:r w:rsidRPr="005C7365">
        <w:rPr>
          <w:rFonts w:ascii="Times New Roman" w:hAnsi="Times New Roman" w:cs="Times New Roman"/>
          <w:iCs/>
          <w:lang w:val="en-US"/>
        </w:rPr>
        <w:t>Trautwein</w:t>
      </w:r>
      <w:proofErr w:type="spellEnd"/>
      <w:r w:rsidRPr="005C7365">
        <w:rPr>
          <w:rFonts w:ascii="Times New Roman" w:hAnsi="Times New Roman" w:cs="Times New Roman"/>
          <w:iCs/>
          <w:lang w:val="en-US"/>
        </w:rPr>
        <w:t xml:space="preserve">, U., &amp; </w:t>
      </w:r>
      <w:proofErr w:type="spellStart"/>
      <w:r w:rsidRPr="005C7365">
        <w:rPr>
          <w:rFonts w:ascii="Times New Roman" w:hAnsi="Times New Roman" w:cs="Times New Roman"/>
          <w:iCs/>
          <w:lang w:val="en-US"/>
        </w:rPr>
        <w:t>Nagengast</w:t>
      </w:r>
      <w:proofErr w:type="spellEnd"/>
      <w:r w:rsidRPr="005C7365">
        <w:rPr>
          <w:rFonts w:ascii="Times New Roman" w:hAnsi="Times New Roman" w:cs="Times New Roman"/>
          <w:iCs/>
          <w:lang w:val="en-US"/>
        </w:rPr>
        <w:t>, B. (2010). A New Look at the Big Five Factor Structure Through Exploratory Structural Equation Modeling. Psychological Assessment, 22(3), 471–491. doi:10.1037/a0019227</w:t>
      </w:r>
    </w:p>
    <w:p w:rsidR="005C7365" w:rsidRP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L. K., &amp; </w:t>
      </w: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B. O. (2012). </w:t>
      </w:r>
      <w:proofErr w:type="spellStart"/>
      <w:r w:rsidRPr="005C7365">
        <w:rPr>
          <w:rFonts w:ascii="Times New Roman" w:hAnsi="Times New Roman" w:cs="Times New Roman"/>
          <w:iCs/>
          <w:lang w:val="en-US"/>
        </w:rPr>
        <w:t>MPlus</w:t>
      </w:r>
      <w:proofErr w:type="spellEnd"/>
      <w:r w:rsidRPr="005C7365">
        <w:rPr>
          <w:rFonts w:ascii="Times New Roman" w:hAnsi="Times New Roman" w:cs="Times New Roman"/>
          <w:iCs/>
          <w:lang w:val="en-US"/>
        </w:rPr>
        <w:t>: statistical analysis with latent variables--User's guide.</w:t>
      </w:r>
    </w:p>
    <w:p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Velicer</w:t>
      </w:r>
      <w:proofErr w:type="spellEnd"/>
      <w:r w:rsidRPr="005C7365">
        <w:rPr>
          <w:rFonts w:ascii="Times New Roman" w:hAnsi="Times New Roman" w:cs="Times New Roman"/>
          <w:iCs/>
          <w:lang w:val="en-US"/>
        </w:rPr>
        <w:t xml:space="preserve">, W. F. (1976). Determining the number of components from the matrix of partial correlations. </w:t>
      </w:r>
      <w:proofErr w:type="spellStart"/>
      <w:r w:rsidRPr="005C7365">
        <w:rPr>
          <w:rFonts w:ascii="Times New Roman" w:hAnsi="Times New Roman" w:cs="Times New Roman"/>
          <w:iCs/>
          <w:lang w:val="en-US"/>
        </w:rPr>
        <w:t>Psychometrika</w:t>
      </w:r>
      <w:proofErr w:type="spellEnd"/>
      <w:r w:rsidRPr="005C7365">
        <w:rPr>
          <w:rFonts w:ascii="Times New Roman" w:hAnsi="Times New Roman" w:cs="Times New Roman"/>
          <w:iCs/>
          <w:lang w:val="en-US"/>
        </w:rPr>
        <w:t>, 41(3).</w:t>
      </w:r>
    </w:p>
    <w:p w:rsidR="005C7365" w:rsidRP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Ziegler, M. (2014). Comments on item selection procedures. European Journal of Psychological Assessment, 30, 1-2.</w:t>
      </w:r>
      <w:bookmarkStart w:id="1" w:name="_GoBack"/>
      <w:bookmarkEnd w:id="1"/>
    </w:p>
    <w:sectPr w:rsidR="005C7365" w:rsidRPr="005C7365" w:rsidSect="007F5F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CF"/>
    <w:rsid w:val="000C33CF"/>
    <w:rsid w:val="00352D4C"/>
    <w:rsid w:val="005C7365"/>
    <w:rsid w:val="007F5F1A"/>
    <w:rsid w:val="00C60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2F6D"/>
  <w15:chartTrackingRefBased/>
  <w15:docId w15:val="{6C16C2DA-DDE9-A549-8520-2A7EC40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Textoindependiente"/>
    <w:link w:val="Ttulo4Car"/>
    <w:uiPriority w:val="9"/>
    <w:unhideWhenUsed/>
    <w:qFormat/>
    <w:rsid w:val="000C33CF"/>
    <w:pPr>
      <w:keepNext/>
      <w:keepLines/>
      <w:spacing w:before="180" w:after="240" w:line="480" w:lineRule="auto"/>
      <w:ind w:firstLine="680"/>
      <w:outlineLvl w:val="3"/>
    </w:pPr>
    <w:rPr>
      <w:rFonts w:ascii="Times New Roman" w:eastAsiaTheme="majorEastAsia" w:hAnsi="Times New Roman" w:cstheme="majorBidi"/>
      <w:b/>
      <w:bCs/>
      <w:i/>
      <w:lang w:val="en-US"/>
    </w:rPr>
  </w:style>
  <w:style w:type="paragraph" w:styleId="Ttulo5">
    <w:name w:val="heading 5"/>
    <w:basedOn w:val="Normal"/>
    <w:next w:val="Normal"/>
    <w:link w:val="Ttulo5Car"/>
    <w:uiPriority w:val="9"/>
    <w:semiHidden/>
    <w:unhideWhenUsed/>
    <w:qFormat/>
    <w:rsid w:val="000C33C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C33CF"/>
    <w:rPr>
      <w:rFonts w:ascii="Times New Roman" w:eastAsiaTheme="majorEastAsia" w:hAnsi="Times New Roman" w:cstheme="majorBidi"/>
      <w:b/>
      <w:bCs/>
      <w:i/>
      <w:lang w:val="en-US"/>
    </w:rPr>
  </w:style>
  <w:style w:type="paragraph" w:styleId="Textoindependiente">
    <w:name w:val="Body Text"/>
    <w:basedOn w:val="Normal"/>
    <w:link w:val="TextoindependienteCar"/>
    <w:uiPriority w:val="99"/>
    <w:semiHidden/>
    <w:unhideWhenUsed/>
    <w:rsid w:val="000C33CF"/>
    <w:pPr>
      <w:spacing w:after="120"/>
    </w:pPr>
  </w:style>
  <w:style w:type="character" w:customStyle="1" w:styleId="TextoindependienteCar">
    <w:name w:val="Texto independiente Car"/>
    <w:basedOn w:val="Fuentedeprrafopredeter"/>
    <w:link w:val="Textoindependiente"/>
    <w:uiPriority w:val="99"/>
    <w:semiHidden/>
    <w:rsid w:val="000C33CF"/>
  </w:style>
  <w:style w:type="character" w:customStyle="1" w:styleId="Ttulo5Car">
    <w:name w:val="Título 5 Car"/>
    <w:basedOn w:val="Fuentedeprrafopredeter"/>
    <w:link w:val="Ttulo5"/>
    <w:uiPriority w:val="9"/>
    <w:semiHidden/>
    <w:rsid w:val="000C33CF"/>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5C73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867</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2</cp:revision>
  <dcterms:created xsi:type="dcterms:W3CDTF">2020-12-08T16:11:00Z</dcterms:created>
  <dcterms:modified xsi:type="dcterms:W3CDTF">2020-12-09T13:08:00Z</dcterms:modified>
</cp:coreProperties>
</file>