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2E48B05C" w:rsidR="00EA382D" w:rsidRPr="00AA1194"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bookmarkEnd w:id="0"/>
    <w:p w14:paraId="35A28CF8" w14:textId="5FA548DB" w:rsidR="004918AC" w:rsidRPr="00E04764" w:rsidRDefault="004918AC" w:rsidP="00613F5A">
      <w:pPr>
        <w:pStyle w:val="Textoindependiente"/>
        <w:spacing w:after="0"/>
        <w:jc w:val="center"/>
        <w:rPr>
          <w:color w:val="FF0000"/>
        </w:rPr>
      </w:pPr>
      <w:r w:rsidRPr="00E04764">
        <w:rPr>
          <w:color w:val="FF0000"/>
        </w:rPr>
        <w:t xml:space="preserve">Victor Rouco, Anja </w:t>
      </w:r>
      <w:proofErr w:type="spellStart"/>
      <w:r w:rsidRPr="00E04764">
        <w:rPr>
          <w:color w:val="FF0000"/>
        </w:rPr>
        <w:t>Cengia</w:t>
      </w:r>
      <w:proofErr w:type="spellEnd"/>
      <w:r w:rsidRPr="00E04764">
        <w:rPr>
          <w:color w:val="FF0000"/>
        </w:rPr>
        <w:t>, Richard Roberts, Christoph Kemper, &amp; Matthias Ziegler</w:t>
      </w:r>
      <w:bookmarkStart w:id="1" w:name="_GoBack"/>
      <w:bookmarkEnd w:id="1"/>
    </w:p>
    <w:p w14:paraId="62E8DFAF" w14:textId="46EE17F7" w:rsidR="004918AC" w:rsidRPr="00E04764" w:rsidRDefault="004918AC" w:rsidP="00613F5A">
      <w:pPr>
        <w:pStyle w:val="Textoindependiente"/>
        <w:spacing w:after="0"/>
        <w:jc w:val="center"/>
        <w:rPr>
          <w:color w:val="FF0000"/>
        </w:rPr>
      </w:pPr>
      <w:r w:rsidRPr="00E04764">
        <w:rPr>
          <w:color w:val="FF0000"/>
        </w:rPr>
        <w:t>Ghent university</w:t>
      </w:r>
    </w:p>
    <w:p w14:paraId="7DAC2D88" w14:textId="1100E05E" w:rsidR="00F87D96" w:rsidRDefault="004918AC" w:rsidP="00613F5A">
      <w:pPr>
        <w:pStyle w:val="Textoindependiente"/>
        <w:spacing w:after="0"/>
        <w:jc w:val="center"/>
        <w:rPr>
          <w:color w:val="FF0000"/>
        </w:rPr>
      </w:pPr>
      <w:r w:rsidRPr="00E04764">
        <w:rPr>
          <w:color w:val="FF0000"/>
          <w:lang w:val="fr-BE"/>
        </w:rPr>
        <w:t xml:space="preserve">Humboldt </w:t>
      </w:r>
      <w:proofErr w:type="spellStart"/>
      <w:r w:rsidRPr="00E04764">
        <w:rPr>
          <w:color w:val="FF0000"/>
          <w:lang w:val="fr-BE"/>
        </w:rPr>
        <w:t>Universität</w:t>
      </w:r>
      <w:proofErr w:type="spellEnd"/>
      <w:r w:rsidRPr="00E04764">
        <w:rPr>
          <w:color w:val="FF0000"/>
          <w:lang w:val="fr-BE"/>
        </w:rPr>
        <w:t xml:space="preserve"> </w:t>
      </w:r>
      <w:proofErr w:type="spellStart"/>
      <w:r w:rsidRPr="00E04764">
        <w:rPr>
          <w:color w:val="FF0000"/>
          <w:lang w:val="fr-BE"/>
        </w:rPr>
        <w:t>zu</w:t>
      </w:r>
      <w:proofErr w:type="spellEnd"/>
      <w:r w:rsidRPr="00E04764">
        <w:rPr>
          <w:color w:val="FF0000"/>
          <w:lang w:val="fr-BE"/>
        </w:rPr>
        <w:t xml:space="preserve"> Berlin</w:t>
      </w:r>
      <w:r w:rsidR="00E04764" w:rsidRPr="00E04764">
        <w:rPr>
          <w:color w:val="FF0000"/>
          <w:lang w:val="fr-BE"/>
        </w:rPr>
        <w:t xml:space="preserve">. </w:t>
      </w:r>
      <w:r w:rsidR="00E04764" w:rsidRPr="00E04764">
        <w:rPr>
          <w:color w:val="FF0000"/>
        </w:rPr>
        <w:t>Affiliations of Richard and C</w:t>
      </w:r>
      <w:r w:rsidR="00E04764">
        <w:rPr>
          <w:color w:val="FF0000"/>
        </w:rPr>
        <w:t>hristoph?</w:t>
      </w:r>
    </w:p>
    <w:p w14:paraId="291ACC7A" w14:textId="396E44BB" w:rsidR="00462C27" w:rsidRPr="008E112D" w:rsidRDefault="00462C27" w:rsidP="00AA1194">
      <w:pPr>
        <w:pStyle w:val="Ttulo"/>
        <w:pageBreakBefore w:val="0"/>
        <w:spacing w:after="0"/>
        <w:rPr>
          <w:b/>
          <w:bCs w:val="0"/>
        </w:rPr>
      </w:pPr>
      <w:bookmarkStart w:id="2" w:name="_Hlk52877124"/>
      <w:r w:rsidRPr="008E112D">
        <w:rPr>
          <w:b/>
          <w:bCs w:val="0"/>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2"/>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3" w:name="author-note"/>
      <w:bookmarkEnd w:id="3"/>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4" w:name="introduction"/>
      <w:bookmarkStart w:id="5" w:name="_Hlk52877224"/>
      <w:bookmarkEnd w:id="4"/>
      <w:r w:rsidRPr="00750B16">
        <w:rPr>
          <w:b/>
          <w:bCs w:val="0"/>
        </w:rPr>
        <w:lastRenderedPageBreak/>
        <w:t>The Berlin Multi-Facet Personality Inventory: A Comprehensive Measure of Big Five Personality Facets</w:t>
      </w:r>
    </w:p>
    <w:p w14:paraId="6FD885D1" w14:textId="77777777"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ne of the most basic, universal, biologically-influenced</w:t>
      </w:r>
      <w:r w:rsidR="0002767F">
        <w:t>,</w:t>
      </w:r>
      <w:r>
        <w:t xml:space="preserve"> and stable </w:t>
      </w:r>
      <w:bookmarkStart w:id="6" w:name="OLE_LINK5"/>
      <w:bookmarkStart w:id="7" w:name="OLE_LINK6"/>
      <w:r>
        <w:t xml:space="preserve">layer </w:t>
      </w:r>
      <w:bookmarkEnd w:id="6"/>
      <w:bookmarkEnd w:id="7"/>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w:t>
      </w:r>
      <w:r>
        <w:lastRenderedPageBreak/>
        <w:t xml:space="preserve">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8" w:name="a-short-history-of-the-big-five"/>
      <w:bookmarkEnd w:id="8"/>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9" w:name="facet-structures"/>
      <w:bookmarkEnd w:id="9"/>
      <w:r w:rsidR="00C96047" w:rsidRPr="00F87D96">
        <w:rPr>
          <w:b/>
          <w:bCs/>
        </w:rPr>
        <w:t xml:space="preserve">Facet </w:t>
      </w:r>
      <w:r w:rsidRPr="00F87D96">
        <w:rPr>
          <w:b/>
          <w:bCs/>
        </w:rPr>
        <w:t xml:space="preserve">Models </w:t>
      </w:r>
    </w:p>
    <w:p w14:paraId="6362C61C" w14:textId="388F28ED" w:rsidR="00140102" w:rsidRDefault="00B272EF" w:rsidP="00FC3B1C">
      <w:pPr>
        <w:pStyle w:val="FirstParagraph"/>
        <w:spacing w:before="0" w:after="0"/>
      </w:pPr>
      <w:r>
        <w:t xml:space="preserve">As </w:t>
      </w:r>
      <w:r w:rsidR="00FE60E9">
        <w:t>outlined</w:t>
      </w:r>
      <w:r>
        <w:t xml:space="preserve"> above, t</w:t>
      </w:r>
      <w:r w:rsidR="00C96047">
        <w:t xml:space="preserve">here are </w:t>
      </w:r>
      <w:proofErr w:type="gramStart"/>
      <w:r w:rsidR="00C96047">
        <w:t>a number of</w:t>
      </w:r>
      <w:proofErr w:type="gramEnd"/>
      <w:r w:rsidR="00C96047">
        <w:t xml:space="preserve">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Watson, Nus, </w:t>
      </w:r>
      <w:r w:rsidR="00C72964">
        <w:t>and</w:t>
      </w:r>
      <w:r w:rsidR="001653F1">
        <w:t xml:space="preserve"> Wu (2017)</w:t>
      </w:r>
      <w:r w:rsidR="0083154C">
        <w:t xml:space="preserve">, or the Big Five Aspect Scales by DeYoung, </w:t>
      </w:r>
      <w:proofErr w:type="spellStart"/>
      <w:r w:rsidR="0083154C">
        <w:t>Quilty</w:t>
      </w:r>
      <w:proofErr w:type="spellEnd"/>
      <w:r w:rsidR="0083154C">
        <w:t xml:space="preserve">, </w:t>
      </w:r>
      <w:r w:rsidR="00C72964">
        <w:t>and</w:t>
      </w:r>
      <w:r w:rsidR="0083154C">
        <w:t xml:space="preserve"> Peterson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w:t>
            </w:r>
            <w:proofErr w:type="spellStart"/>
            <w:r w:rsidRPr="00C96047">
              <w:rPr>
                <w:color w:val="000000"/>
              </w:rPr>
              <w:t>of</w:t>
            </w:r>
            <w:proofErr w:type="spellEnd"/>
            <w:r w:rsidRPr="00C96047">
              <w:rPr>
                <w:color w:val="000000"/>
              </w:rPr>
              <w:t xml:space="preserve">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(Lee &amp; Ashton,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51400D"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Oswald, </w:t>
            </w:r>
            <w:proofErr w:type="spellStart"/>
            <w:r w:rsidRPr="00C96047">
              <w:rPr>
                <w:color w:val="000000"/>
              </w:rPr>
              <w:t>Connelly</w:t>
            </w:r>
            <w:proofErr w:type="spellEnd"/>
            <w:r w:rsidRPr="00C96047">
              <w:rPr>
                <w:color w:val="000000"/>
              </w:rPr>
              <w:t>,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51400D"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51400D"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51400D"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462C27"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51400D"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462C27"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w:t>
            </w:r>
            <w:proofErr w:type="gramStart"/>
            <w:r w:rsidRPr="004935BC">
              <w:rPr>
                <w:color w:val="000000"/>
                <w:lang w:val="fr-BE"/>
              </w:rPr>
              <w:t>);</w:t>
            </w:r>
            <w:proofErr w:type="gramEnd"/>
            <w:r w:rsidRPr="004935BC">
              <w:rPr>
                <w:color w:val="000000"/>
                <w:lang w:val="fr-BE"/>
              </w:rPr>
              <w:t xml:space="preserve">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Brennan, 1992)</w:t>
            </w:r>
          </w:p>
        </w:tc>
      </w:tr>
      <w:tr w:rsidR="003247B3" w:rsidRPr="00462C27"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w:t>
            </w:r>
            <w:proofErr w:type="gramStart"/>
            <w:r w:rsidRPr="004935BC">
              <w:rPr>
                <w:color w:val="000000"/>
                <w:lang w:val="fr-BE"/>
              </w:rPr>
              <w:t>);</w:t>
            </w:r>
            <w:proofErr w:type="gramEnd"/>
            <w:r w:rsidRPr="004935BC">
              <w:rPr>
                <w:color w:val="000000"/>
                <w:lang w:val="fr-BE"/>
              </w:rPr>
              <w:t xml:space="preserve">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51400D"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77777777" w:rsidR="003247B3" w:rsidRPr="00AD587A" w:rsidRDefault="003247B3" w:rsidP="003247B3">
            <w:pPr>
              <w:spacing w:before="0" w:after="0" w:line="240" w:lineRule="auto"/>
              <w:rPr>
                <w:color w:val="000000"/>
                <w:lang w:val="en-GB"/>
              </w:rPr>
            </w:pPr>
            <w:r w:rsidRPr="00AD587A">
              <w:rPr>
                <w:color w:val="000000"/>
                <w:lang w:val="en-GB"/>
              </w:rPr>
              <w:t>(Ruiz, Pincus &amp; Dickinson,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CB8D63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51400D"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462C27"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462C27"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3A6BF46"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462C27"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51400D"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51400D"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462C27"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Weinstein,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462C27"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r w:rsidRPr="00C96047">
              <w:rPr>
                <w:color w:val="000000"/>
              </w:rPr>
              <w:t xml:space="preserve">Energy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51400D"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51400D"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71A06"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lastRenderedPageBreak/>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51400D"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51400D"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51400D"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w:t>
            </w:r>
            <w:proofErr w:type="spellStart"/>
            <w:r w:rsidRPr="00C96047">
              <w:rPr>
                <w:color w:val="000000"/>
              </w:rPr>
              <w:t>to</w:t>
            </w:r>
            <w:proofErr w:type="spellEnd"/>
            <w:r w:rsidRPr="00C96047">
              <w:rPr>
                <w:color w:val="000000"/>
              </w:rPr>
              <w:t xml:space="preserve">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51400D"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462C27"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51400D"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51400D"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5F3B025"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w:t>
      </w:r>
      <w:r w:rsidR="00C96047">
        <w:lastRenderedPageBreak/>
        <w:t xml:space="preserve">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0" w:name="OLE_LINK13"/>
      <w:bookmarkStart w:id="11" w:name="OLE_LINK14"/>
      <w:r w:rsidR="0054068C">
        <w:t>In line with these findings</w:t>
      </w:r>
      <w:r w:rsidR="006719BE">
        <w:t xml:space="preserve">, we </w:t>
      </w:r>
      <w:r w:rsidR="0054068C">
        <w:t>hypothesize</w:t>
      </w:r>
      <w:r w:rsidR="006719BE">
        <w:t xml:space="preserve"> that</w:t>
      </w:r>
      <w:r w:rsidR="00783625">
        <w:t xml:space="preserve"> t</w:t>
      </w:r>
      <w:bookmarkEnd w:id="10"/>
      <w:bookmarkEnd w:id="1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2020667D"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w:t>
      </w:r>
      <w:r>
        <w:lastRenderedPageBreak/>
        <w:t xml:space="preserve">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2C69EE56"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671BC36D" w:rsidR="00EA382D" w:rsidRDefault="00C96047" w:rsidP="00FC3B1C">
      <w:pPr>
        <w:pStyle w:val="Ttulo2"/>
        <w:spacing w:before="0" w:after="0"/>
      </w:pPr>
      <w:bookmarkStart w:id="12" w:name="the-big-five-and-personality-disorders"/>
      <w:bookmarkStart w:id="13" w:name="this-study"/>
      <w:bookmarkEnd w:id="12"/>
      <w:bookmarkEnd w:id="13"/>
      <w:r>
        <w:t xml:space="preserve">This </w:t>
      </w:r>
      <w:r w:rsidR="00FB0A97">
        <w:t>research</w:t>
      </w:r>
    </w:p>
    <w:p w14:paraId="091B369D" w14:textId="2EFEDE16" w:rsidR="002265FA" w:rsidRDefault="002265FA" w:rsidP="00FC3B1C">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lastRenderedPageBreak/>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4" w:name="methods"/>
      <w:bookmarkEnd w:id="14"/>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5" w:name="study-1---us-american-sample"/>
      <w:bookmarkStart w:id="16" w:name="participants"/>
      <w:bookmarkEnd w:id="15"/>
      <w:bookmarkEnd w:id="16"/>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 xml:space="preserve">amples. Both </w:t>
      </w:r>
      <w:r w:rsidRPr="00FC3B1C">
        <w:rPr>
          <w:b w:val="0"/>
          <w:bCs w:val="0"/>
          <w:i w:val="0"/>
          <w:iCs/>
        </w:rPr>
        <w:lastRenderedPageBreak/>
        <w:t>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7" w:name="measures"/>
      <w:bookmarkEnd w:id="17"/>
      <w:r>
        <w:t>Measures</w:t>
      </w:r>
      <w:bookmarkStart w:id="18" w:name="items-from-the-international-personality"/>
      <w:bookmarkEnd w:id="18"/>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57B285EF"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212FC017" w14:textId="09765C1E" w:rsidR="00EA382D" w:rsidRPr="00F87D96" w:rsidRDefault="00C96047" w:rsidP="003247B3">
      <w:pPr>
        <w:pStyle w:val="Ttulo5"/>
        <w:keepNext w:val="0"/>
        <w:keepLines w:val="0"/>
        <w:widowControl w:val="0"/>
        <w:spacing w:before="0" w:after="0"/>
        <w:rPr>
          <w:i w:val="0"/>
          <w:iCs w:val="0"/>
        </w:rPr>
      </w:pPr>
      <w:bookmarkStart w:id="19" w:name="satisfaction-with-life-swl"/>
      <w:bookmarkEnd w:id="19"/>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 xml:space="preserve">item composite defined in Diener, Emmons, Larsen, and Griffin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20" w:name="gpa"/>
      <w:bookmarkEnd w:id="20"/>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1" w:name="sat"/>
      <w:bookmarkEnd w:id="21"/>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w:t>
      </w:r>
      <w:r w:rsidR="00485490" w:rsidRPr="00F87D96">
        <w:rPr>
          <w:i w:val="0"/>
          <w:iCs w:val="0"/>
        </w:rPr>
        <w:lastRenderedPageBreak/>
        <w:t xml:space="preserve">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2" w:name="procedure"/>
      <w:bookmarkEnd w:id="22"/>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3" w:name="efa-with-subsample-1"/>
      <w:bookmarkEnd w:id="23"/>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m:rPr>
            <m:sty m:val="p"/>
          </m:rPr>
          <w:rPr>
            <w:rFonts w:ascii="Cambria Math" w:hAnsi="Cambria Math"/>
          </w:rPr>
          <m:t>α</m:t>
        </m:r>
      </m:oMath>
      <w:r w:rsidRPr="002279DD">
        <w:rPr>
          <w:i w:val="0"/>
          <w:iCs w:val="0"/>
        </w:rPr>
        <w:t xml:space="preserve"> and McDonald’s </w:t>
      </w:r>
      <m:oMath>
        <m:r>
          <m:rPr>
            <m:sty m:val="p"/>
          </m:rP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m:rPr>
            <m:sty m:val="p"/>
          </m:rP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13606604" w:rsidR="00381C95" w:rsidRPr="002279DD" w:rsidRDefault="002D2C41" w:rsidP="00E04764">
      <w:pPr>
        <w:pStyle w:val="Ttulo5"/>
        <w:keepNext w:val="0"/>
        <w:keepLines w:val="0"/>
        <w:widowControl w:val="0"/>
        <w:spacing w:before="0" w:after="0"/>
        <w:rPr>
          <w:i w:val="0"/>
          <w:iCs w:val="0"/>
        </w:rPr>
      </w:pPr>
      <w:bookmarkStart w:id="24" w:name="cfa-and-esem-with-subsample-1"/>
      <w:bookmarkEnd w:id="24"/>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t>
      </w:r>
      <w:r w:rsidR="0066150A" w:rsidRPr="002279DD">
        <w:rPr>
          <w:i w:val="0"/>
          <w:iCs w:val="0"/>
        </w:rPr>
        <w:lastRenderedPageBreak/>
        <w:t xml:space="preserve">was determined based on </w:t>
      </w:r>
      <w:r w:rsidR="00F15F83" w:rsidRPr="002279DD">
        <w:rPr>
          <w:i w:val="0"/>
          <w:iCs w:val="0"/>
        </w:rPr>
        <w:t>the usual goodness-of-fit indicators</w:t>
      </w:r>
      <w:r w:rsidR="00071E57" w:rsidRPr="002279DD">
        <w:rPr>
          <w:i w:val="0"/>
          <w:iCs w:val="0"/>
        </w:rPr>
        <w:t xml:space="preserve">: the Cumulative Fit Index (CFI), for which a score &gt; 0.9 indicates approximate fit; the Root Mean Square of Approximation (RMSEA), for which a value &lt; 0.05 indicates good fit and a value &lt; 0.6 indicates approximate fit; and the Standardized Root Mean Residual (SRMR), for which a value &lt; 0.05 indicates adequate fit. </w:t>
      </w:r>
    </w:p>
    <w:p w14:paraId="779E5E31" w14:textId="3ED79C99"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 xml:space="preserve">allows to relax the too strict independent clusters model in which CFA is usually performed (Marsh et al., 2010),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3CB2889C"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build.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m:rPr>
                <m:sty m:val="p"/>
              </m:rPr>
              <w:rPr>
                <w:rFonts w:ascii="Cambria Math" w:hAnsi="Cambria Math" w:cs="Calibri"/>
                <w:color w:val="000000"/>
                <w:sz w:val="22"/>
                <w:szCs w:val="22"/>
                <w:lang w:val="nl-BE" w:eastAsia="nl-BE"/>
              </w:rPr>
              <m:t>R</m:t>
            </m:r>
          </m:e>
          <m:sup>
            <m:r>
              <m:rPr>
                <m:sty m:val="p"/>
              </m:rPr>
              <w:rPr>
                <w:rFonts w:ascii="Cambria Math" w:hAnsi="Cambria Math" w:cs="Calibri"/>
                <w:color w:val="000000"/>
                <w:sz w:val="22"/>
                <w:szCs w:val="22"/>
                <w:lang w:val="nl-BE" w:eastAsia="nl-BE"/>
              </w:rPr>
              <m:t>2</m:t>
            </m:r>
          </m:sup>
        </m:sSup>
        <m:r>
          <m:rPr>
            <m:sty m:val="p"/>
          </m:rP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lastRenderedPageBreak/>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proofErr w:type="spellStart"/>
            <w:r w:rsidRPr="00297D27">
              <w:lastRenderedPageBreak/>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proofErr w:type="spellStart"/>
            <w:r>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w:t>
      </w:r>
      <w:r w:rsidR="00E26566">
        <w:lastRenderedPageBreak/>
        <w:t>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76CE622A"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w:rPr>
            <w:rFonts w:ascii="Cambria Math" w:hAnsi="Cambria Math"/>
          </w:rPr>
          <m:t>α</m:t>
        </m:r>
      </m:oMath>
      <w:r w:rsidRPr="002279DD">
        <w:rPr>
          <w:b w:val="0"/>
          <w:bCs w:val="0"/>
        </w:rPr>
        <w:t xml:space="preserve"> and </w:t>
      </w:r>
      <m:oMath>
        <m: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w:rPr>
            <w:rFonts w:ascii="Cambria Math" w:hAnsi="Cambria Math"/>
          </w:rPr>
          <m:t>ω</m:t>
        </m:r>
      </m:oMath>
      <w:r w:rsidR="0074454A" w:rsidRPr="002279DD">
        <w:rPr>
          <w:b w:val="0"/>
          <w:bCs w:val="0"/>
        </w:rPr>
        <w:t xml:space="preserve">  &gt; 0.7) for </w:t>
      </w:r>
      <w:proofErr w:type="gramStart"/>
      <w:r w:rsidR="0074454A" w:rsidRPr="002279DD">
        <w:rPr>
          <w:b w:val="0"/>
          <w:bCs w:val="0"/>
        </w:rPr>
        <w:t>the majority of</w:t>
      </w:r>
      <w:proofErr w:type="gramEnd"/>
      <w:r w:rsidR="0074454A" w:rsidRPr="002279DD">
        <w:rPr>
          <w:b w:val="0"/>
          <w:bCs w:val="0"/>
        </w:rPr>
        <w:t xml:space="preserve">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w:rPr>
            <w:rFonts w:ascii="Cambria Math" w:hAnsi="Cambria Math"/>
          </w:rPr>
          <m:t>ω= .52)</m:t>
        </m:r>
      </m:oMath>
      <w:r w:rsidR="008231BD" w:rsidRPr="002279DD">
        <w:rPr>
          <w:rFonts w:eastAsiaTheme="minorEastAsia"/>
          <w:b w:val="0"/>
          <w:bCs w:val="0"/>
        </w:rPr>
        <w:t>.</w:t>
      </w:r>
    </w:p>
    <w:p w14:paraId="1C7A3B44" w14:textId="1865A489"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96691" w:rsidRPr="002279DD">
        <w:rPr>
          <w:b w:val="0"/>
          <w:bCs w:val="0"/>
        </w:rPr>
        <w:t>,</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t>
      </w:r>
      <w:proofErr w:type="gramStart"/>
      <w:r w:rsidR="00BE4F32" w:rsidRPr="002279DD">
        <w:rPr>
          <w:b w:val="0"/>
          <w:bCs w:val="0"/>
        </w:rPr>
        <w:t>were allowed to</w:t>
      </w:r>
      <w:proofErr w:type="gramEnd"/>
      <w:r w:rsidR="00BE4F32" w:rsidRPr="002279DD">
        <w:rPr>
          <w:b w:val="0"/>
          <w:bCs w:val="0"/>
        </w:rPr>
        <w:t xml:space="preserve">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w:t>
      </w:r>
      <w:r w:rsidR="00BE4F32" w:rsidRPr="002279DD">
        <w:rPr>
          <w:b w:val="0"/>
          <w:bCs w:val="0"/>
        </w:rPr>
        <w:lastRenderedPageBreak/>
        <w:t xml:space="preserve">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w:rPr>
                <w:rFonts w:ascii="Cambria Math" w:hAnsi="Cambria Math"/>
              </w:rPr>
              <m:t>χ</m:t>
            </m:r>
          </m:e>
          <m:sup>
            <m: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w:t>
      </w:r>
      <w:proofErr w:type="gramStart"/>
      <w:r w:rsidR="00C46324" w:rsidRPr="002279DD">
        <w:rPr>
          <w:b w:val="0"/>
          <w:bCs w:val="0"/>
        </w:rPr>
        <w:t>sufficient</w:t>
      </w:r>
      <w:proofErr w:type="gramEnd"/>
      <w:r w:rsidR="00C46324" w:rsidRPr="002279DD">
        <w:rPr>
          <w:b w:val="0"/>
          <w:bCs w:val="0"/>
        </w:rPr>
        <w:t xml:space="preserve">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4918AC"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r w:rsidRPr="00072410">
              <w:rPr>
                <w:color w:val="000000"/>
              </w:rPr>
              <w:t xml:space="preserve">Low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r w:rsidRPr="00072410">
              <w:rPr>
                <w:color w:val="000000"/>
              </w:rPr>
              <w:t xml:space="preserve">Good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25" w:name="criterion-validity-evidence-1"/>
      <w:bookmarkEnd w:id="25"/>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w:t>
      </w:r>
      <w:r w:rsidR="00241EE9" w:rsidRPr="00613F5A">
        <w:rPr>
          <w:b w:val="0"/>
          <w:bCs w:val="0"/>
        </w:rPr>
        <w:lastRenderedPageBreak/>
        <w:t xml:space="preserve">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26" w:name="results-of-mi"/>
      <w:bookmarkEnd w:id="26"/>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4918AC"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4918AC"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4918AC"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r>
              <w:rPr>
                <w:color w:val="000000"/>
              </w:rPr>
              <w:t xml:space="preserve">Low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r>
              <w:rPr>
                <w:color w:val="000000"/>
              </w:rPr>
              <w:t xml:space="preserve">Good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r w:rsidRPr="00297D27">
              <w:rPr>
                <w:color w:val="000000"/>
              </w:rPr>
              <w:t>Energy</w:t>
            </w:r>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proofErr w:type="spellStart"/>
            <w:r w:rsidRPr="00297D27">
              <w:rPr>
                <w:color w:val="000000"/>
              </w:rPr>
              <w:t>Willingness</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proofErr w:type="spellStart"/>
      <w:r w:rsidR="002418DA" w:rsidRPr="00613F5A">
        <w:rPr>
          <w:b w:val="0"/>
          <w:bCs w:val="0"/>
          <w:i w:val="0"/>
          <w:iCs/>
        </w:rPr>
        <w:t>Following</w:t>
      </w:r>
      <w:proofErr w:type="spellEnd"/>
      <w:r w:rsidR="002418DA" w:rsidRPr="00613F5A">
        <w:rPr>
          <w:b w:val="0"/>
          <w:bCs w:val="0"/>
          <w:i w:val="0"/>
          <w:iCs/>
        </w:rPr>
        <w:t xml:space="preserve">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p"/>
          </m:rPr>
          <w:rPr>
            <w:rFonts w:ascii="Cambria Math" w:hAnsi="Cambria Math"/>
          </w:rPr>
          <m:t>Δ</m:t>
        </m:r>
      </m:oMath>
      <w:r w:rsidR="00CD6B0B" w:rsidRPr="00613F5A">
        <w:rPr>
          <w:b w:val="0"/>
          <w:bCs w:val="0"/>
          <w:i w:val="0"/>
          <w:iCs/>
        </w:rPr>
        <w:t xml:space="preserve"> CFI &lt; .01, </w:t>
      </w:r>
      <m:oMath>
        <m:r>
          <m:rPr>
            <m:sty m:val="p"/>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p"/>
          </m:rPr>
          <w:rPr>
            <w:rFonts w:ascii="Cambria Math" w:hAnsi="Cambria Math"/>
          </w:rPr>
          <m:t>Δ</m:t>
        </m:r>
      </m:oMath>
      <w:r w:rsidR="00CD6B0B" w:rsidRPr="00613F5A">
        <w:rPr>
          <w:b w:val="0"/>
          <w:bCs w:val="0"/>
          <w:i w:val="0"/>
          <w:iCs/>
        </w:rPr>
        <w:t xml:space="preserve"> SRMR &lt; .03; and scalar invariance whenever </w:t>
      </w:r>
      <m:oMath>
        <m:r>
          <m:rPr>
            <m:sty m:val="p"/>
          </m:rPr>
          <w:rPr>
            <w:rFonts w:ascii="Cambria Math" w:hAnsi="Cambria Math"/>
          </w:rPr>
          <m:t>Δ</m:t>
        </m:r>
      </m:oMath>
      <w:r w:rsidR="00CD6B0B" w:rsidRPr="00613F5A">
        <w:rPr>
          <w:b w:val="0"/>
          <w:bCs w:val="0"/>
          <w:i w:val="0"/>
          <w:iCs/>
        </w:rPr>
        <w:t xml:space="preserve"> CFI &lt; .01, </w:t>
      </w:r>
      <m:oMath>
        <m:r>
          <m:rPr>
            <m:sty m:val="p"/>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p"/>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7" w:name="criterion-validity-evidence"/>
      <w:bookmarkEnd w:id="27"/>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w:t>
      </w:r>
      <w:r w:rsidR="00BC334A">
        <w:lastRenderedPageBreak/>
        <w:t>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728AE714"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proofErr w:type="gramStart"/>
      <w:r w:rsidR="00BC334A" w:rsidRPr="00613F5A">
        <w:rPr>
          <w:b w:val="0"/>
          <w:bCs w:val="0"/>
        </w:rPr>
        <w:t>the vast majority of</w:t>
      </w:r>
      <w:proofErr w:type="gramEnd"/>
      <w:r w:rsidR="00BC334A" w:rsidRPr="00613F5A">
        <w:rPr>
          <w:b w:val="0"/>
          <w:bCs w:val="0"/>
        </w:rPr>
        <w:t xml:space="preserve"> facets showed at least partial metric invariance between both countries (97.6%) </w:t>
      </w:r>
      <w:r w:rsidR="002418DA" w:rsidRPr="00613F5A">
        <w:rPr>
          <w:b w:val="0"/>
          <w:bCs w:val="0"/>
        </w:rPr>
        <w:t xml:space="preserve">(see </w:t>
      </w:r>
      <w:r w:rsidR="00E16E86" w:rsidRPr="00613F5A">
        <w:rPr>
          <w:b w:val="0"/>
          <w:bCs w:val="0"/>
        </w:rPr>
        <w:t>Table A3 in the Annex</w:t>
      </w:r>
      <w:r w:rsidR="002418DA" w:rsidRPr="00613F5A">
        <w:rPr>
          <w:b w:val="0"/>
          <w:bCs w:val="0"/>
        </w:rPr>
        <w:t>)</w:t>
      </w:r>
      <w:r w:rsidR="00BC334A" w:rsidRPr="00613F5A">
        <w:rPr>
          <w:b w:val="0"/>
          <w:bCs w:val="0"/>
        </w:rPr>
        <w:t>.</w:t>
      </w:r>
    </w:p>
    <w:p w14:paraId="1C129B32" w14:textId="16D5836F"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the </w:t>
      </w:r>
      <w:r w:rsidR="0034077E">
        <w:t xml:space="preserve">online </w:t>
      </w:r>
      <w:r w:rsidR="002A4D5B">
        <w:t xml:space="preserve">repository of this project (link here).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w:t>
      </w:r>
      <w:r w:rsidR="007920F8">
        <w:lastRenderedPageBreak/>
        <w:t>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w:rPr>
                <w:rFonts w:ascii="Cambria Math" w:hAnsi="Cambria Math"/>
              </w:rPr>
              <m:t>χ</m:t>
            </m:r>
          </m:e>
          <m:sup>
            <m: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w:rPr>
                <w:rFonts w:ascii="Cambria Math" w:hAnsi="Cambria Math"/>
              </w:rPr>
              <m:t>χ</m:t>
            </m:r>
          </m:e>
          <m:sup>
            <m: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8" w:name="discussion"/>
      <w:bookmarkEnd w:id="28"/>
      <w:r>
        <w:t>Discussion</w:t>
      </w:r>
    </w:p>
    <w:p w14:paraId="18E169B3" w14:textId="1568BB36"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w:t>
      </w:r>
      <w:r w:rsidR="00320163">
        <w:lastRenderedPageBreak/>
        <w:t>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7937E844"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rsidP="00FC3B1C">
      <w:pPr>
        <w:pStyle w:val="Textoindependiente"/>
        <w:spacing w:before="0" w:after="0"/>
      </w:pPr>
      <w:r>
        <w:lastRenderedPageBreak/>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6DE2C375"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 xml:space="preserve">xtraversion were, as expected, the domains which showed the strongest links to SWL. The other </w:t>
      </w:r>
      <w:r w:rsidR="00DA11BD">
        <w:lastRenderedPageBreak/>
        <w:t>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2F714C3A"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 Walt</w:t>
      </w:r>
      <w:r w:rsidR="00AE2CBC">
        <w:t>on</w:t>
      </w:r>
      <w:r w:rsidR="009565AC">
        <w:t xml:space="preserve"> and </w:t>
      </w:r>
      <w:proofErr w:type="spellStart"/>
      <w:r w:rsidR="009565AC">
        <w:t>Viechtbauer</w:t>
      </w:r>
      <w:proofErr w:type="spellEnd"/>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w:t>
      </w:r>
      <w:r w:rsidR="00035AA8">
        <w:lastRenderedPageBreak/>
        <w:t xml:space="preserve">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C2776A3" w:rsidR="00056347" w:rsidRDefault="00BA4C93" w:rsidP="00FC3B1C">
      <w:pPr>
        <w:pStyle w:val="Textoindependiente"/>
        <w:spacing w:before="0" w:after="0"/>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EF74426" w:rsidR="00CD3468" w:rsidRDefault="00056347" w:rsidP="00FC3B1C">
      <w:pPr>
        <w:pStyle w:val="Textoindependiente"/>
        <w:spacing w:before="0" w:after="0"/>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9" w:name="references"/>
      <w:bookmarkEnd w:id="29"/>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lastRenderedPageBreak/>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Bagby, R. M., &amp; Widiger,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Diener, E., Emmons, R. A., Larsen, R. J., &amp; Griffin, S. (1985). 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44ECF900" w14:textId="0A76D8BC"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4">
        <w:r w:rsidRPr="00462C27">
          <w:rPr>
            <w:rStyle w:val="Hipervnculo"/>
            <w:color w:val="000000" w:themeColor="text1"/>
          </w:rPr>
          <w:t>10.1146/annurev.psych.54.101601.145056</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5">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6">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7">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8">
        <w:r w:rsidRPr="00462C27">
          <w:rPr>
            <w:rStyle w:val="Hipervnculo"/>
            <w:color w:val="000000" w:themeColor="text1"/>
          </w:rPr>
          <w:t>10.1521/pedi.2012.26.4.513</w:t>
        </w:r>
      </w:hyperlink>
    </w:p>
    <w:p w14:paraId="036CFC20" w14:textId="53C765A7"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9">
        <w:r w:rsidRPr="00462C27">
          <w:rPr>
            <w:rStyle w:val="Hipervnculo"/>
            <w:color w:val="000000" w:themeColor="text1"/>
          </w:rPr>
          <w:t>10.1111/j.1467-6494.2009.00571.x</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462C27">
        <w:rPr>
          <w:i/>
          <w:color w:val="000000" w:themeColor="text1"/>
        </w:rPr>
        <w:t>Journal of Applied Psychology</w:t>
      </w:r>
      <w:r w:rsidRPr="00462C27">
        <w:rPr>
          <w:color w:val="000000" w:themeColor="text1"/>
        </w:rPr>
        <w:t xml:space="preserve">, </w:t>
      </w:r>
      <w:r w:rsidRPr="00462C27">
        <w:rPr>
          <w:i/>
          <w:color w:val="000000" w:themeColor="text1"/>
        </w:rPr>
        <w:t>82</w:t>
      </w:r>
      <w:r w:rsidRPr="00462C27">
        <w:rPr>
          <w:color w:val="000000" w:themeColor="text1"/>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Kretzschmar, A., Spengler, M., Schubert, A.-L., </w:t>
      </w:r>
      <w:proofErr w:type="spellStart"/>
      <w:r w:rsidRPr="00462C27">
        <w:rPr>
          <w:color w:val="000000" w:themeColor="text1"/>
        </w:rPr>
        <w:t>Steinmayr</w:t>
      </w:r>
      <w:proofErr w:type="spellEnd"/>
      <w:r w:rsidRPr="00462C27">
        <w:rPr>
          <w:color w:val="000000" w:themeColor="text1"/>
        </w:rPr>
        <w:t xml:space="preserve">, R., &amp; Ziegler, M. (2018). 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Krueger, R. F., Derringer, J., Markon, K. E., Watson, D., &amp; Skodol,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r w:rsidR="004918AC">
        <w:fldChar w:fldCharType="begin"/>
      </w:r>
      <w:r w:rsidR="004918AC" w:rsidRPr="004918AC">
        <w:rPr>
          <w:lang w:val="fr-BE"/>
        </w:rPr>
        <w:instrText xml:space="preserve"> HYPERLINK "https://doi.org/10.1037/0003-066X.61.3.204" \h </w:instrText>
      </w:r>
      <w:r w:rsidR="004918AC">
        <w:fldChar w:fldCharType="separate"/>
      </w:r>
      <w:r w:rsidRPr="00462C27">
        <w:rPr>
          <w:rStyle w:val="Hipervnculo"/>
          <w:color w:val="000000" w:themeColor="text1"/>
          <w:lang w:val="de-DE"/>
        </w:rPr>
        <w:t>10.1037/0003-066X.61.3.204</w:t>
      </w:r>
      <w:r w:rsidR="004918AC">
        <w:rPr>
          <w:rStyle w:val="Hipervnculo"/>
          <w:color w:val="000000" w:themeColor="text1"/>
          <w:lang w:val="de-DE"/>
        </w:rPr>
        <w:fldChar w:fldCharType="end"/>
      </w:r>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McAdams, K. K., &amp; Donnellan,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5">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6">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7">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8">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49">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0">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1">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2">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3">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4">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5">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 xml:space="preserve">(4), 313–345. </w:t>
      </w:r>
      <w:proofErr w:type="gramStart"/>
      <w:r w:rsidRPr="00462C27">
        <w:rPr>
          <w:color w:val="000000" w:themeColor="text1"/>
          <w:lang w:val="fr-BE"/>
        </w:rPr>
        <w:t>doi:</w:t>
      </w:r>
      <w:proofErr w:type="gramEnd"/>
      <w:r w:rsidR="004918AC">
        <w:fldChar w:fldCharType="begin"/>
      </w:r>
      <w:r w:rsidR="004918AC" w:rsidRPr="004918AC">
        <w:rPr>
          <w:lang w:val="fr-BE"/>
        </w:rPr>
        <w:instrText xml:space="preserve"> HYPERLINK "https://doi.org/10.1111/j.1745-6916.2007.00047.x" \h </w:instrText>
      </w:r>
      <w:r w:rsidR="004918AC">
        <w:fldChar w:fldCharType="separate"/>
      </w:r>
      <w:r w:rsidRPr="00462C27">
        <w:rPr>
          <w:rStyle w:val="Hipervnculo"/>
          <w:color w:val="000000" w:themeColor="text1"/>
          <w:lang w:val="fr-BE"/>
        </w:rPr>
        <w:t>10.1111/j.1745-6916.2007.00047.x</w:t>
      </w:r>
      <w:r w:rsidR="004918AC">
        <w:rPr>
          <w:rStyle w:val="Hipervnculo"/>
          <w:color w:val="000000" w:themeColor="text1"/>
          <w:lang w:val="fr-BE"/>
        </w:rPr>
        <w:fldChar w:fldCharType="end"/>
      </w:r>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6">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7">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58">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59">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0">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1">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2">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Schmitt, D. P., </w:t>
      </w:r>
      <w:proofErr w:type="spellStart"/>
      <w:r w:rsidRPr="00462C27">
        <w:rPr>
          <w:color w:val="000000" w:themeColor="text1"/>
        </w:rPr>
        <w:t>Allik</w:t>
      </w:r>
      <w:proofErr w:type="spellEnd"/>
      <w:r w:rsidRPr="00462C27">
        <w:rPr>
          <w:color w:val="000000" w:themeColor="text1"/>
        </w:rPr>
        <w:t xml:space="preserve">, J., McCrae, R. R., &amp; Benet-Martínez, V. (2007). 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3">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4">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5">
        <w:r w:rsidRPr="00462C27">
          <w:rPr>
            <w:rStyle w:val="Hipervnculo"/>
            <w:color w:val="000000" w:themeColor="text1"/>
          </w:rPr>
          <w:t>10.1016/j.jrp.2008.10.002</w:t>
        </w:r>
      </w:hyperlink>
    </w:p>
    <w:p w14:paraId="2B863A2C" w14:textId="15AE1807" w:rsidR="00EA382D" w:rsidRPr="00462C27" w:rsidRDefault="00D23D7D"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6">
        <w:r w:rsidR="00C96047" w:rsidRPr="00462C27">
          <w:rPr>
            <w:rStyle w:val="Hipervnculo"/>
            <w:color w:val="000000" w:themeColor="text1"/>
          </w:rPr>
          <w:t>10.1037/pspp0000096</w:t>
        </w:r>
      </w:hyperlink>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lastRenderedPageBreak/>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7">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Watson, D., &amp; Watson, D. (2002). General and Specific Traits of Personality and Their Relation to Sleep and Academic Performance.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(2), 177–206. doi:</w:t>
      </w:r>
      <w:hyperlink r:id="rId68">
        <w:r w:rsidRPr="00462C27">
          <w:rPr>
            <w:rStyle w:val="Hipervnculo"/>
            <w:color w:val="000000" w:themeColor="text1"/>
          </w:rPr>
          <w:t>10.1111/1467-6494.05002</w:t>
        </w:r>
      </w:hyperlink>
    </w:p>
    <w:p w14:paraId="2681A3D4" w14:textId="4725A8D4" w:rsidR="001021BE" w:rsidRPr="00462C27" w:rsidRDefault="001021BE" w:rsidP="008E3BA6">
      <w:pPr>
        <w:pStyle w:val="Textoindependiente"/>
        <w:spacing w:before="0" w:after="0" w:line="360" w:lineRule="auto"/>
        <w:ind w:hanging="720"/>
        <w:mirrorIndents/>
        <w:rPr>
          <w:color w:val="000000" w:themeColor="text1"/>
        </w:rPr>
      </w:pPr>
      <w:proofErr w:type="spellStart"/>
      <w:r w:rsidRPr="00462C27">
        <w:rPr>
          <w:color w:val="000000" w:themeColor="text1"/>
        </w:rPr>
        <w:t>Wegge</w:t>
      </w:r>
      <w:proofErr w:type="spellEnd"/>
      <w:r w:rsidRPr="00462C27">
        <w:rPr>
          <w:color w:val="000000" w:themeColor="text1"/>
        </w:rPr>
        <w:t xml:space="preserve">, J., &amp; </w:t>
      </w:r>
      <w:proofErr w:type="spellStart"/>
      <w:r w:rsidRPr="00462C27">
        <w:rPr>
          <w:color w:val="000000" w:themeColor="text1"/>
        </w:rPr>
        <w:t>Kleinbeck</w:t>
      </w:r>
      <w:proofErr w:type="spellEnd"/>
      <w:r w:rsidRPr="00462C27">
        <w:rPr>
          <w:color w:val="000000" w:themeColor="text1"/>
        </w:rPr>
        <w:t xml:space="preserve">, U. (1993). </w:t>
      </w:r>
      <w:proofErr w:type="spellStart"/>
      <w:r w:rsidRPr="00462C27">
        <w:rPr>
          <w:color w:val="000000" w:themeColor="text1"/>
        </w:rPr>
        <w:t>Motivationale</w:t>
      </w:r>
      <w:proofErr w:type="spellEnd"/>
      <w:r w:rsidRPr="00462C27">
        <w:rPr>
          <w:color w:val="000000" w:themeColor="text1"/>
        </w:rPr>
        <w:t xml:space="preserve"> </w:t>
      </w:r>
      <w:proofErr w:type="spellStart"/>
      <w:r w:rsidRPr="00462C27">
        <w:rPr>
          <w:color w:val="000000" w:themeColor="text1"/>
        </w:rPr>
        <w:t>Faktoren</w:t>
      </w:r>
      <w:proofErr w:type="spellEnd"/>
      <w:r w:rsidRPr="00462C27">
        <w:rPr>
          <w:color w:val="000000" w:themeColor="text1"/>
        </w:rPr>
        <w:t xml:space="preserve"> </w:t>
      </w:r>
      <w:proofErr w:type="spellStart"/>
      <w:r w:rsidRPr="00462C27">
        <w:rPr>
          <w:color w:val="000000" w:themeColor="text1"/>
        </w:rPr>
        <w:t>betrieblicher</w:t>
      </w:r>
      <w:proofErr w:type="spellEnd"/>
      <w:r w:rsidRPr="00462C27">
        <w:rPr>
          <w:color w:val="000000" w:themeColor="text1"/>
        </w:rPr>
        <w:t xml:space="preserve"> </w:t>
      </w:r>
      <w:proofErr w:type="spellStart"/>
      <w:r w:rsidRPr="00462C27">
        <w:rPr>
          <w:color w:val="000000" w:themeColor="text1"/>
        </w:rPr>
        <w:t>Fehlzeiten</w:t>
      </w:r>
      <w:proofErr w:type="spellEnd"/>
      <w:r w:rsidRPr="00462C27">
        <w:rPr>
          <w:color w:val="000000" w:themeColor="text1"/>
        </w:rPr>
        <w:t xml:space="preserve">: </w:t>
      </w:r>
      <w:proofErr w:type="spellStart"/>
      <w:r w:rsidRPr="00462C27">
        <w:rPr>
          <w:color w:val="000000" w:themeColor="text1"/>
        </w:rPr>
        <w:t>zum</w:t>
      </w:r>
      <w:proofErr w:type="spellEnd"/>
      <w:r w:rsidRPr="00462C27">
        <w:rPr>
          <w:color w:val="000000" w:themeColor="text1"/>
        </w:rPr>
        <w:t xml:space="preserve"> </w:t>
      </w:r>
      <w:proofErr w:type="spellStart"/>
      <w:r w:rsidRPr="00462C27">
        <w:rPr>
          <w:color w:val="000000" w:themeColor="text1"/>
        </w:rPr>
        <w:t>Einfluß</w:t>
      </w:r>
      <w:proofErr w:type="spellEnd"/>
      <w:r w:rsidRPr="00462C27">
        <w:rPr>
          <w:color w:val="000000" w:themeColor="text1"/>
        </w:rPr>
        <w:t xml:space="preserve"> </w:t>
      </w:r>
      <w:proofErr w:type="spellStart"/>
      <w:r w:rsidRPr="00462C27">
        <w:rPr>
          <w:color w:val="000000" w:themeColor="text1"/>
        </w:rPr>
        <w:t>leistungs</w:t>
      </w:r>
      <w:proofErr w:type="spellEnd"/>
      <w:r w:rsidRPr="00462C27">
        <w:rPr>
          <w:color w:val="000000" w:themeColor="text1"/>
        </w:rPr>
        <w:t xml:space="preserve">-und </w:t>
      </w:r>
      <w:proofErr w:type="spellStart"/>
      <w:r w:rsidRPr="00462C27">
        <w:rPr>
          <w:color w:val="000000" w:themeColor="text1"/>
        </w:rPr>
        <w:t>anschlußthematischer</w:t>
      </w:r>
      <w:proofErr w:type="spellEnd"/>
      <w:r w:rsidRPr="00462C27">
        <w:rPr>
          <w:color w:val="000000" w:themeColor="text1"/>
        </w:rPr>
        <w:t xml:space="preserve"> </w:t>
      </w:r>
      <w:proofErr w:type="spellStart"/>
      <w:r w:rsidRPr="00462C27">
        <w:rPr>
          <w:color w:val="000000" w:themeColor="text1"/>
        </w:rPr>
        <w:t>Variablen</w:t>
      </w:r>
      <w:proofErr w:type="spellEnd"/>
      <w:r w:rsidRPr="00462C27">
        <w:rPr>
          <w:color w:val="000000" w:themeColor="text1"/>
        </w:rPr>
        <w:t xml:space="preserve"> auf die </w:t>
      </w:r>
      <w:proofErr w:type="spellStart"/>
      <w:r w:rsidRPr="00462C27">
        <w:rPr>
          <w:color w:val="000000" w:themeColor="text1"/>
        </w:rPr>
        <w:t>Abwesenheit</w:t>
      </w:r>
      <w:proofErr w:type="spellEnd"/>
      <w:r w:rsidRPr="00462C27">
        <w:rPr>
          <w:color w:val="000000" w:themeColor="text1"/>
        </w:rPr>
        <w:t xml:space="preserve"> am </w:t>
      </w:r>
      <w:proofErr w:type="spellStart"/>
      <w:r w:rsidRPr="00462C27">
        <w:rPr>
          <w:color w:val="000000" w:themeColor="text1"/>
        </w:rPr>
        <w:t>Arbeitsplatz</w:t>
      </w:r>
      <w:proofErr w:type="spellEnd"/>
      <w:r w:rsidRPr="00462C27">
        <w:rPr>
          <w:color w:val="000000" w:themeColor="text1"/>
        </w:rPr>
        <w:t xml:space="preserve">. </w:t>
      </w:r>
      <w:proofErr w:type="spellStart"/>
      <w:r w:rsidRPr="00462C27">
        <w:rPr>
          <w:i/>
          <w:iCs/>
          <w:color w:val="000000" w:themeColor="text1"/>
        </w:rPr>
        <w:t>Zeitschrift</w:t>
      </w:r>
      <w:proofErr w:type="spellEnd"/>
      <w:r w:rsidRPr="00462C27">
        <w:rPr>
          <w:i/>
          <w:iCs/>
          <w:color w:val="000000" w:themeColor="text1"/>
        </w:rPr>
        <w:t xml:space="preserve"> </w:t>
      </w:r>
      <w:proofErr w:type="spellStart"/>
      <w:r w:rsidRPr="00462C27">
        <w:rPr>
          <w:i/>
          <w:iCs/>
          <w:color w:val="000000" w:themeColor="text1"/>
        </w:rPr>
        <w:t>für</w:t>
      </w:r>
      <w:proofErr w:type="spellEnd"/>
      <w:r w:rsidRPr="00462C27">
        <w:rPr>
          <w:i/>
          <w:iCs/>
          <w:color w:val="000000" w:themeColor="text1"/>
        </w:rPr>
        <w:t xml:space="preserve"> </w:t>
      </w:r>
      <w:proofErr w:type="spellStart"/>
      <w:r w:rsidRPr="00462C27">
        <w:rPr>
          <w:i/>
          <w:iCs/>
          <w:color w:val="000000" w:themeColor="text1"/>
        </w:rPr>
        <w:t>experimentelle</w:t>
      </w:r>
      <w:proofErr w:type="spellEnd"/>
      <w:r w:rsidRPr="00462C27">
        <w:rPr>
          <w:i/>
          <w:iCs/>
          <w:color w:val="000000" w:themeColor="text1"/>
        </w:rPr>
        <w:t xml:space="preserve"> und </w:t>
      </w:r>
      <w:proofErr w:type="spellStart"/>
      <w:r w:rsidRPr="00462C27">
        <w:rPr>
          <w:i/>
          <w:iCs/>
          <w:color w:val="000000" w:themeColor="text1"/>
        </w:rPr>
        <w:t>angewandte</w:t>
      </w:r>
      <w:proofErr w:type="spellEnd"/>
      <w:r w:rsidRPr="00462C27">
        <w:rPr>
          <w:i/>
          <w:iCs/>
          <w:color w:val="000000" w:themeColor="text1"/>
        </w:rPr>
        <w:t xml:space="preserve"> </w:t>
      </w:r>
      <w:proofErr w:type="spellStart"/>
      <w:r w:rsidRPr="00462C27">
        <w:rPr>
          <w:i/>
          <w:iCs/>
          <w:color w:val="000000" w:themeColor="text1"/>
        </w:rPr>
        <w:t>Psychologie</w:t>
      </w:r>
      <w:proofErr w:type="spellEnd"/>
      <w:r w:rsidRPr="00462C27">
        <w:rPr>
          <w:color w:val="000000" w:themeColor="text1"/>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Widiger</w:t>
      </w:r>
      <w:proofErr w:type="spellEnd"/>
      <w:r w:rsidRPr="00462C27">
        <w:rPr>
          <w:color w:val="000000" w:themeColor="text1"/>
        </w:rPr>
        <w:t>, T. A., &amp; Mullins-</w:t>
      </w:r>
      <w:proofErr w:type="spellStart"/>
      <w:r w:rsidRPr="00462C27">
        <w:rPr>
          <w:color w:val="000000" w:themeColor="text1"/>
        </w:rPr>
        <w:t>Sweatt</w:t>
      </w:r>
      <w:proofErr w:type="spellEnd"/>
      <w:r w:rsidRPr="00462C27">
        <w:rPr>
          <w:color w:val="000000" w:themeColor="text1"/>
        </w:rPr>
        <w:t xml:space="preserve">, S. N. (2009). 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Ziegler, M., </w:t>
      </w:r>
      <w:proofErr w:type="spellStart"/>
      <w:r w:rsidRPr="00462C27">
        <w:rPr>
          <w:color w:val="000000" w:themeColor="text1"/>
        </w:rPr>
        <w:t>Danay</w:t>
      </w:r>
      <w:proofErr w:type="spellEnd"/>
      <w:r w:rsidRPr="00462C27">
        <w:rPr>
          <w:color w:val="000000" w:themeColor="text1"/>
        </w:rPr>
        <w:t xml:space="preserve">, E., </w:t>
      </w:r>
      <w:proofErr w:type="spellStart"/>
      <w:r w:rsidRPr="00462C27">
        <w:rPr>
          <w:color w:val="000000" w:themeColor="text1"/>
        </w:rPr>
        <w:t>Schölmerich</w:t>
      </w:r>
      <w:proofErr w:type="spellEnd"/>
      <w:r w:rsidRPr="00462C27">
        <w:rPr>
          <w:color w:val="000000" w:themeColor="text1"/>
        </w:rPr>
        <w:t xml:space="preserve">, F., &amp; </w:t>
      </w:r>
      <w:proofErr w:type="spellStart"/>
      <w:r w:rsidRPr="00462C27">
        <w:rPr>
          <w:color w:val="000000" w:themeColor="text1"/>
        </w:rPr>
        <w:t>Bühner</w:t>
      </w:r>
      <w:proofErr w:type="spellEnd"/>
      <w:r w:rsidRPr="00462C27">
        <w:rPr>
          <w:color w:val="000000" w:themeColor="text1"/>
        </w:rPr>
        <w:t xml:space="preserve">, M. (2010). 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69">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5"/>
    </w:p>
    <w:sectPr w:rsidR="00CD3468" w:rsidRPr="00613F5A" w:rsidSect="008E3BA6">
      <w:headerReference w:type="default" r:id="rId70"/>
      <w:footerReference w:type="even" r:id="rId71"/>
      <w:footerReference w:type="default" r:id="rId72"/>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414C9" w14:textId="77777777" w:rsidR="00FB582B" w:rsidRDefault="00FB582B">
      <w:r>
        <w:separator/>
      </w:r>
    </w:p>
  </w:endnote>
  <w:endnote w:type="continuationSeparator" w:id="0">
    <w:p w14:paraId="6785892D" w14:textId="77777777" w:rsidR="00FB582B" w:rsidRDefault="00FB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59080941"/>
      <w:docPartObj>
        <w:docPartGallery w:val="Page Numbers (Bottom of Page)"/>
        <w:docPartUnique/>
      </w:docPartObj>
    </w:sdtPr>
    <w:sdtContent>
      <w:p w14:paraId="626AC483" w14:textId="1D211BB9"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3247B3" w:rsidRDefault="003247B3"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31128549"/>
      <w:docPartObj>
        <w:docPartGallery w:val="Page Numbers (Bottom of Page)"/>
        <w:docPartUnique/>
      </w:docPartObj>
    </w:sdtPr>
    <w:sdtContent>
      <w:p w14:paraId="1B18ACB7" w14:textId="21958B31"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3247B3" w:rsidRDefault="003247B3"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12EF4" w14:textId="77777777" w:rsidR="00FB582B" w:rsidRDefault="00FB582B">
      <w:r>
        <w:separator/>
      </w:r>
    </w:p>
  </w:footnote>
  <w:footnote w:type="continuationSeparator" w:id="0">
    <w:p w14:paraId="3B20A122" w14:textId="77777777" w:rsidR="00FB582B" w:rsidRDefault="00FB582B">
      <w:r>
        <w:continuationSeparator/>
      </w:r>
    </w:p>
  </w:footnote>
  <w:footnote w:id="1">
    <w:p w14:paraId="420CA1C9" w14:textId="687925A3" w:rsidR="003247B3" w:rsidRPr="00FF5824" w:rsidRDefault="003247B3"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47CD" w14:textId="7FBA636E" w:rsidR="003247B3" w:rsidRDefault="00E0476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7B5E"/>
    <w:rsid w:val="003F1036"/>
    <w:rsid w:val="003F27DB"/>
    <w:rsid w:val="004025DF"/>
    <w:rsid w:val="00404141"/>
    <w:rsid w:val="004139F0"/>
    <w:rsid w:val="004224BC"/>
    <w:rsid w:val="00427EDE"/>
    <w:rsid w:val="00434255"/>
    <w:rsid w:val="00434CF1"/>
    <w:rsid w:val="004422AC"/>
    <w:rsid w:val="00450622"/>
    <w:rsid w:val="0045179F"/>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71E8"/>
    <w:rsid w:val="00742470"/>
    <w:rsid w:val="007434F0"/>
    <w:rsid w:val="0074454A"/>
    <w:rsid w:val="007459BF"/>
    <w:rsid w:val="00745F2F"/>
    <w:rsid w:val="00750B16"/>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90601"/>
    <w:rsid w:val="00A927C9"/>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5719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037/0022-3514.93.1.116" TargetMode="External"/><Relationship Id="rId63" Type="http://schemas.openxmlformats.org/officeDocument/2006/relationships/hyperlink" Target="https://doi.org/10.1177/0022022106297299" TargetMode="External"/><Relationship Id="rId68" Type="http://schemas.openxmlformats.org/officeDocument/2006/relationships/hyperlink" Target="https://doi.org/10.1111/1467-6494.05002"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j.1467-6494.2009.00571.x"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ych.54.101601.145056"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16/j.paid.2008.09.028" TargetMode="External"/><Relationship Id="rId53" Type="http://schemas.openxmlformats.org/officeDocument/2006/relationships/hyperlink" Target="https://doi.org/10.1037/a0014996" TargetMode="External"/><Relationship Id="rId58" Type="http://schemas.openxmlformats.org/officeDocument/2006/relationships/hyperlink" Target="https://doi.org/10.1016/j.cpr.2008.07.002" TargetMode="External"/><Relationship Id="rId66" Type="http://schemas.openxmlformats.org/officeDocument/2006/relationships/hyperlink" Target="https://doi.org/10.1037/pspp0000096"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111/1467-6494.05008"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037/11352-058"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16/j.jrp.2004.11.003" TargetMode="External"/><Relationship Id="rId56" Type="http://schemas.openxmlformats.org/officeDocument/2006/relationships/hyperlink" Target="https://doi.org/10.1016/j.lindif.2011.04.004" TargetMode="External"/><Relationship Id="rId64" Type="http://schemas.openxmlformats.org/officeDocument/2006/relationships/hyperlink" Target="https://doi.org/10.17605/OSF.IO/U65GB" TargetMode="External"/><Relationship Id="rId69" Type="http://schemas.openxmlformats.org/officeDocument/2006/relationships/hyperlink" Target="https://doi.org/10.1002/per" TargetMode="External"/><Relationship Id="rId8" Type="http://schemas.openxmlformats.org/officeDocument/2006/relationships/hyperlink" Target="https://doi.org/10.1037/h0093360" TargetMode="External"/><Relationship Id="rId51" Type="http://schemas.openxmlformats.org/officeDocument/2006/relationships/hyperlink" Target="https://doi.org/10.1016/j.paid.2007.03.017"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146/annurev.ps.41.020190.002221"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177/1088868310366253.Internal" TargetMode="External"/><Relationship Id="rId59" Type="http://schemas.openxmlformats.org/officeDocument/2006/relationships/hyperlink" Target="https://doi.org/10.1177/0734282911406661" TargetMode="External"/><Relationship Id="rId67" Type="http://schemas.openxmlformats.org/officeDocument/2006/relationships/hyperlink" Target="https://doi.org/10.1016/j.paid.2006.04.003"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111/bjep.12019" TargetMode="External"/><Relationship Id="rId62" Type="http://schemas.openxmlformats.org/officeDocument/2006/relationships/hyperlink" Target="https://doi.org/10.1177/0146167204264292"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521/pedi.2012.26.4.513"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02/per.487" TargetMode="External"/><Relationship Id="rId57" Type="http://schemas.openxmlformats.org/officeDocument/2006/relationships/hyperlink" Target="https://doi.org/10.1207/S15327752JPA8103"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06/jrpe.2000.2309" TargetMode="External"/><Relationship Id="rId60" Type="http://schemas.openxmlformats.org/officeDocument/2006/relationships/hyperlink" Target="https://doi.org/10.1016/j.cpr.2002.09.001" TargetMode="External"/><Relationship Id="rId65" Type="http://schemas.openxmlformats.org/officeDocument/2006/relationships/hyperlink" Target="https://doi.org/10.1016/j.jrp.2008.10.002"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146/annurev.psych.57.102904.190127" TargetMode="External"/><Relationship Id="rId55" Type="http://schemas.openxmlformats.org/officeDocument/2006/relationships/hyperlink" Target="https://doi.org/10.1111/1467-6494.00142"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40</Pages>
  <Words>11776</Words>
  <Characters>67128</Characters>
  <Application>Microsoft Office Word</Application>
  <DocSecurity>0</DocSecurity>
  <Lines>559</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8</cp:revision>
  <cp:lastPrinted>2020-10-06T12:13:00Z</cp:lastPrinted>
  <dcterms:created xsi:type="dcterms:W3CDTF">2020-10-02T15:35:00Z</dcterms:created>
  <dcterms:modified xsi:type="dcterms:W3CDTF">2020-10-06T13:17:00Z</dcterms:modified>
</cp:coreProperties>
</file>