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multi-faceted,</w:t>
      </w:r>
      <w:r>
        <w:t xml:space="preserve"> </w:t>
      </w:r>
      <w:r>
        <w:t xml:space="preserve">open</w:t>
      </w:r>
      <w:r>
        <w:t xml:space="preserve"> </w:t>
      </w:r>
      <w:r>
        <w:t xml:space="preserve">source,</w:t>
      </w:r>
      <w:r>
        <w:t xml:space="preserve"> </w:t>
      </w:r>
      <w:r>
        <w:t xml:space="preserve">measure</w:t>
      </w:r>
      <w:r>
        <w:t xml:space="preserve"> </w:t>
      </w:r>
      <w:r>
        <w:t xml:space="preserve">of</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Neurociencies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A multi-faceted, open source, measure of personality</w:t>
      </w:r>
    </w:p>
    <w:p>
      <w:pPr>
        <w:pStyle w:val="berschrift1"/>
      </w:pPr>
      <w:bookmarkStart w:id="22" w:name="introduction"/>
      <w:r>
        <w:t xml:space="preserve">1. Introduction</w:t>
      </w:r>
      <w:bookmarkEnd w:id="22"/>
    </w:p>
    <w:p>
      <w:pPr>
        <w:pStyle w:val="berschrift2"/>
      </w:pPr>
      <w:bookmarkStart w:id="23" w:name="short-history-and-relevance-of-the-big-five"/>
      <w:r>
        <w:t xml:space="preserve">1.1. Short history and relevance of the Big Five</w:t>
      </w:r>
      <w:bookmarkEnd w:id="23"/>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(John et al., 2014; Lounsbury, Sundstrom, Loveland, &amp; Gibson, 2002; Paunonen &amp; Ashton, 2001)</w:t>
      </w:r>
      <w:r>
        <w:t xml:space="preserve">.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big-five"/>
      <w:r>
        <w:t xml:space="preserve">1.2. A short history of the Big Five</w:t>
      </w:r>
      <w:bookmarkEnd w:id="24"/>
    </w:p>
    <w:p>
      <w:pPr>
        <w:pStyle w:val="FirstParagraph"/>
      </w:pPr>
      <w:r>
        <w:t xml:space="preserve">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himself (1884),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krper"/>
      </w:pPr>
      <w:r>
        <w:t xml:space="preserve">A large number of studies have focused on the problem of personality structure resulting in a five factor solution (Fiske, 1949; Norman, 1963; Tupes &amp; Christal, 1961; Borgatta, 1964). Possibly the two most widely cited works relating to the foundations of the Big Five are those by Goldberg (…) and McRae Costa (…).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 Ozer and Benet-Martinez (2006) or Roberts; Kuncel; Shiner; Caspi &amp; Goldberg ( 2007)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r>
        <w:t xml:space="preserve">1.3. Facet Structures</w:t>
      </w:r>
      <w:bookmarkEnd w:id="25"/>
    </w:p>
    <w:p>
      <w:pPr>
        <w:pStyle w:val="FirstParagraph"/>
      </w:pPr>
      <w:r>
        <w:t xml:space="preserve">There are a number of models that include a facet structure below the five broad domains. The most widely known model is the one suggested by Costa and McCrae (XXX). Other popular models have been suggested for the Big Five Inventory 2 (BFI-2, Soto &amp; John, 2017), the IPIP (JRP paper), and the HEXACO model (XXX), which assumes six broad domains. Table 1 gives an overview of these different models listing their facets per domain as well as some information regarding their psychometric properties.</w:t>
      </w:r>
    </w:p>
    <w:p>
      <w:pPr>
        <w:pStyle w:val="Textkrper"/>
      </w:pPr>
      <w:r>
        <w:t xml:space="preserve">table 1</w:t>
      </w:r>
    </w:p>
    <w:p>
      <w:pPr>
        <w:pStyle w:val="Textkrper"/>
      </w:pPr>
      <w:r>
        <w:t xml:space="preserve">As shown in table 1, there are many different possibilities of facets forming the domains. However, there is still a degree of overlap on the facets covered by the different instruments.</w:t>
      </w:r>
      <w:r>
        <w:t xml:space="preserve"> </w:t>
      </w:r>
      <w:r>
        <w:t xml:space="preserve">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Soto and John (2009)</w:t>
      </w:r>
      <w:r>
        <w:t xml:space="preserve"> </w:t>
      </w:r>
      <w:r>
        <w:t xml:space="preserve">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 Soto &amp; John (2008). As an example we find Self-Consciousness, a Neuroticism facet defined by the NEO-PI-R and the IPIP-NEO-120, which is clearly tapping at a construct different from Anxiety or Depression.</w:t>
      </w:r>
    </w:p>
    <w:p>
      <w:pPr>
        <w:pStyle w:val="Textkrper"/>
      </w:pPr>
      <w: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Mottus,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towards facets as important criterion predictors showing incremental validity to domains. For academic achievement,</w:t>
      </w:r>
      <w:r>
        <w:t xml:space="preserve"> </w:t>
      </w:r>
      <w:r>
        <w:t xml:space="preserve">Paunonen and Ashton (2001)</w:t>
      </w:r>
      <w:r>
        <w:t xml:space="preserve"> </w:t>
      </w:r>
      <w:r>
        <w:t xml:space="preserve">showed that the facets achievement motivation and intellectual curiosity increased the variance accounted for by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w:t>
      </w:r>
      <w:r>
        <w:t xml:space="preserve"> </w:t>
      </w:r>
      <w:r>
        <w:t xml:space="preserve">(</w:t>
      </w:r>
      <w:r>
        <w:rPr>
          <w:b/>
        </w:rPr>
        <w:t xml:space="preserve">???</w:t>
      </w:r>
      <w:r>
        <w:t xml:space="preserve">)</w:t>
      </w:r>
      <w:r>
        <w:t xml:space="preserve">, resulting in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big-five-and-personality-disorders"/>
      <w:r>
        <w:t xml:space="preserve">1.4. The Big Five and Personality Disorders</w:t>
      </w:r>
      <w:bookmarkEnd w:id="26"/>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krper"/>
      </w:pPr>
      <w:r>
        <w:t xml:space="preserve">This paradigm shift in clinical assessment of personality has led to the construction of the Personality Disorder Inventory (PID-5; Krueger, Derringer, Markon, Watson, &amp; Skodol, 2013),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the</w:t>
      </w:r>
      <w:r>
        <w:t xml:space="preserve"> </w:t>
      </w:r>
      <w:r>
        <w:t xml:space="preserve">Reynolds and Clark (2001)</w:t>
      </w:r>
      <w:r>
        <w:t xml:space="preserve"> </w:t>
      </w:r>
      <w:r>
        <w:t xml:space="preserve">study. Furthermore, the use of facets may be of extreme utility for those PD whose personality profile is less clear at the domain level. As</w:t>
      </w:r>
      <w:r>
        <w:t xml:space="preserve"> </w:t>
      </w:r>
      <w:r>
        <w:t xml:space="preserve">Saulsman and Page (2004)</w:t>
      </w:r>
      <w:r>
        <w:t xml:space="preserve"> </w:t>
      </w:r>
      <w:r>
        <w:t xml:space="preserve">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r>
        <w:t xml:space="preserve">1.5. This study</w:t>
      </w:r>
      <w:bookmarkEnd w:id="27"/>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8" w:name="methods"/>
      <w:r>
        <w:t xml:space="preserve">2. Methods</w:t>
      </w:r>
      <w:bookmarkEnd w:id="28"/>
    </w:p>
    <w:p>
      <w:pPr>
        <w:pStyle w:val="FirstParagraph"/>
      </w:pPr>
      <w:r>
        <w:t xml:space="preserve">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berschrift2"/>
      </w:pPr>
      <w:bookmarkStart w:id="29" w:name="study-1---us-american-sample"/>
      <w:r>
        <w:t xml:space="preserve">2. Study 1 - US-American Sample</w:t>
      </w:r>
      <w:bookmarkEnd w:id="29"/>
    </w:p>
    <w:p>
      <w:pPr>
        <w:pStyle w:val="berschrift3"/>
      </w:pPr>
      <w:bookmarkStart w:id="30" w:name="participants"/>
      <w:r>
        <w:t xml:space="preserve">2.1.1. Participants</w:t>
      </w:r>
      <w:bookmarkEnd w:id="30"/>
    </w:p>
    <w:p>
      <w:pPr>
        <w:pStyle w:val="FirstParagraph"/>
      </w:pPr>
      <w:r>
        <w:t xml:space="preserve">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w:t>
      </w:r>
      <w:r>
        <w:t xml:space="preserve"> </w:t>
      </w:r>
      <w:r>
        <w:t xml:space="preserve">The data set was randomly splitted in two equally sized samples. Both samples were matched in relation to missing values, outliers and extreme values. In Sample 1 the mean age was 21.8 years (SD=6.3), in Sample 2 the mean age was 21.5 years (SD=5.6).</w:t>
      </w:r>
    </w:p>
    <w:p>
      <w:pPr>
        <w:pStyle w:val="berschrift2"/>
      </w:pPr>
      <w:bookmarkStart w:id="31" w:name="measures."/>
      <w:r>
        <w:t xml:space="preserve">2.1.2. Measures.</w:t>
      </w:r>
      <w:bookmarkEnd w:id="31"/>
    </w:p>
    <w:p>
      <w:pPr>
        <w:pStyle w:val="berschrift3"/>
      </w:pPr>
      <w:bookmarkStart w:id="32" w:name="international-personality-item-pool-ipip"/>
      <w:r>
        <w:t xml:space="preserve">International Personality Item Pool (IPIP)</w:t>
      </w:r>
      <w:bookmarkEnd w:id="32"/>
    </w:p>
    <w:p>
      <w:pPr>
        <w:pStyle w:val="FirstParagraph"/>
      </w:pPr>
      <w:r>
        <w:t xml:space="preserve">Altogether, 525 items from the</w:t>
      </w:r>
      <w:r>
        <w:t xml:space="preserve"> </w:t>
      </w:r>
      <w:r>
        <w:rPr>
          <w:i/>
        </w:rPr>
        <w:t xml:space="preserve">International Personality Item Pool</w:t>
      </w:r>
      <w:r>
        <w:t xml:space="preserve"> </w:t>
      </w:r>
      <w:r>
        <w:rPr>
          <w:i/>
        </w:rPr>
        <w:t xml:space="preserve">(IPIP)</w:t>
      </w:r>
      <w:r>
        <w:t xml:space="preserve"> </w:t>
      </w:r>
      <w:r>
        <w:t xml:space="preserve">were used to measure Neuroticism, Extraversion, Openness (to experience), Agreeableness and Conscientiousness. The IPIP is an open source database of personality items, which was launched in 1996, and contains over 2000 items (L. R. Goldberg et al., 2006).</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berschrift3"/>
      </w:pPr>
      <w:bookmarkStart w:id="33" w:name="gpa"/>
      <w:r>
        <w:t xml:space="preserve">GPA</w:t>
      </w:r>
      <w:bookmarkEnd w:id="33"/>
    </w:p>
    <w:p>
      <w:pPr>
        <w:pStyle w:val="FirstParagraph"/>
      </w:pPr>
      <w:r>
        <w:t xml:space="preserve">This measures academic achievement.</w:t>
      </w:r>
    </w:p>
    <w:p>
      <w:pPr>
        <w:pStyle w:val="berschrift3"/>
      </w:pPr>
      <w:bookmarkStart w:id="34" w:name="satisfaction-with-life-swl"/>
      <w:r>
        <w:t xml:space="preserve">Satisfaction With Life (SWL)</w:t>
      </w:r>
      <w:bookmarkEnd w:id="34"/>
    </w:p>
    <w:p>
      <w:pPr>
        <w:pStyle w:val="FirstParagraph"/>
      </w:pPr>
      <w:r>
        <w:t xml:space="preserve">Scale of satisfaction with life</w:t>
      </w:r>
    </w:p>
    <w:p>
      <w:pPr>
        <w:pStyle w:val="berschrift2"/>
      </w:pPr>
      <w:bookmarkStart w:id="35" w:name="procedure"/>
      <w:r>
        <w:t xml:space="preserve">2.1.3. Procedure</w:t>
      </w:r>
      <w:bookmarkEnd w:id="35"/>
    </w:p>
    <w:p>
      <w:pPr>
        <w:pStyle w:val="berschrift3"/>
      </w:pPr>
      <w:bookmarkStart w:id="36" w:name="efa-with-subsample-1"/>
      <w:r>
        <w:t xml:space="preserve">EFA with subsample 1</w:t>
      </w:r>
      <w:bookmarkEnd w:id="36"/>
    </w:p>
    <w:p>
      <w:pPr>
        <w:pStyle w:val="FirstParagraph"/>
      </w:pPr>
      <w:r>
        <w:t xml:space="preserve">To determine the number of possible facets per domain Velicer’s (1976) Minimum Average Partial (MAP) method and Horn’s (1965) 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berschrift3"/>
      </w:pPr>
      <w:bookmarkStart w:id="37" w:name="cfa-and-esem-with-subsample-2"/>
      <w:r>
        <w:t xml:space="preserve">CFA and ESEM with subsample 2</w:t>
      </w:r>
      <w:bookmarkEnd w:id="37"/>
    </w:p>
    <w:p>
      <w:pPr>
        <w:pStyle w:val="FirstParagraph"/>
      </w:pPr>
      <w:r>
        <w:t xml:space="preserve">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berschrift3"/>
      </w:pPr>
      <w:bookmarkStart w:id="38" w:name="criterion-validity-evidence"/>
      <w:r>
        <w:t xml:space="preserve">Criterion validity evidence</w:t>
      </w:r>
      <w:bookmarkEnd w:id="38"/>
    </w:p>
    <w:p>
      <w:pPr>
        <w:pStyle w:val="FirstParagraph"/>
      </w:pPr>
      <w:r>
        <w:t xml:space="preserve">To examine the nomological structure of the facets and domains to external constructs like life satisfaction and education, correlations and multiple regression were computed.</w:t>
      </w:r>
    </w:p>
    <w:p>
      <w:pPr>
        <w:pStyle w:val="berschrift2"/>
      </w:pPr>
      <w:bookmarkStart w:id="39" w:name="results"/>
      <w:r>
        <w:t xml:space="preserve">2.2. Results</w:t>
      </w:r>
      <w:bookmarkEnd w:id="39"/>
    </w:p>
    <w:p>
      <w:pPr>
        <w:pStyle w:val="berschrift3"/>
      </w:pPr>
      <w:bookmarkStart w:id="40" w:name="results-of-efa"/>
      <w:r>
        <w:t xml:space="preserve">Results of EFA</w:t>
      </w:r>
      <w:bookmarkEnd w:id="40"/>
    </w:p>
    <w:p>
      <w:pPr>
        <w:pStyle w:val="FirstParagraph"/>
      </w:pPr>
      <w:r>
        <w:t xml:space="preserve">In</w:t>
      </w:r>
      <w:r>
        <w:t xml:space="preserve"> </w:t>
      </w:r>
      <w:r>
        <w:rPr>
          <w:i/>
        </w:rPr>
        <w:t xml:space="preserve">Table 2</w:t>
      </w:r>
      <w:r>
        <w:t xml:space="preserve"> </w:t>
      </w:r>
      <w:r>
        <w:t xml:space="preserve">you can see model fits for the chosen facet model for each domain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 (Ziegler, 2014).</w:t>
      </w:r>
    </w:p>
    <w:p>
      <w:pPr>
        <w:pStyle w:val="Textkrper"/>
      </w:pPr>
      <w:r>
        <w:t xml:space="preserve">According to the exploratory model,</w:t>
      </w:r>
      <w:r>
        <w:t xml:space="preserve"> </w:t>
      </w:r>
      <w:r>
        <w:rPr>
          <w:b/>
        </w:rPr>
        <w:t xml:space="preserve">Agreeableness</w:t>
      </w:r>
      <w:r>
        <w:t xml:space="preserve"> </w:t>
      </w:r>
      <w:r>
        <w:t xml:space="preserve">consists of eight facets after two facets were eliminated due to weakly loading and inconsistent items. The remaining facets are named Appreciation, Integrity, Low Competitiveness, Readiness to Give Feedback, Search for Support, Good Faith, Genuineness and Altruism.</w:t>
      </w:r>
      <w:r>
        <w:t xml:space="preserve"> </w:t>
      </w:r>
      <w:r>
        <w:rPr>
          <w:b/>
        </w:rPr>
        <w:t xml:space="preserve">Conscientiousness</w:t>
      </w:r>
      <w:r>
        <w:t xml:space="preserve"> </w:t>
      </w:r>
      <w:r>
        <w:t xml:space="preserve">consists of nine facets after one facet with item factor loadings less than .30 was excluded, they are: Dominance, Persistence, Self-discipline, Task planning, Goal orientation, Carefulness, Orderliness, Wish to work to capacity and Productivity.</w:t>
      </w:r>
      <w:r>
        <w:t xml:space="preserve"> </w:t>
      </w:r>
      <w:r>
        <w:rPr>
          <w:b/>
        </w:rPr>
        <w:t xml:space="preserve">Extraversion</w:t>
      </w:r>
      <w:r>
        <w:t xml:space="preserve"> </w:t>
      </w:r>
      <w:r>
        <w:t xml:space="preserve">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r>
        <w:t xml:space="preserve"> </w:t>
      </w:r>
      <w:r>
        <w:rPr>
          <w:b/>
        </w:rPr>
        <w:t xml:space="preserve">Neuroticism</w:t>
      </w:r>
      <w:r>
        <w:t xml:space="preserve"> </w:t>
      </w:r>
      <w:r>
        <w:t xml:space="preserve">(interpreted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r>
        <w:t xml:space="preserve"> </w:t>
      </w:r>
      <w:r>
        <w:rPr>
          <w:b/>
        </w:rPr>
        <w:t xml:space="preserve">Openness</w:t>
      </w:r>
      <w:r>
        <w:t xml:space="preserve"> </w:t>
      </w:r>
      <w:r>
        <w:t xml:space="preserve">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1" w:name="results-of-cfa-and-esem."/>
      <w:r>
        <w:t xml:space="preserve">Results of CFA and ESEM.</w:t>
      </w:r>
      <w:bookmarkEnd w:id="41"/>
    </w:p>
    <w:p>
      <w:pPr>
        <w:pStyle w:val="FirstParagraph"/>
      </w:pPr>
      <w:r>
        <w:t xml:space="preserve">All measurement models for the facets were fitting well, results can be found in</w:t>
      </w:r>
      <w:r>
        <w:t xml:space="preserve"> </w:t>
      </w:r>
      <w:r>
        <w:rPr>
          <w:i/>
        </w:rPr>
        <w:t xml:space="preserve">Table 3</w:t>
      </w:r>
      <w:r>
        <w:t xml:space="preserve">.</w:t>
      </w:r>
    </w:p>
    <w:p>
      <w:pPr>
        <w:pStyle w:val="Textkrper"/>
      </w:pPr>
      <w:r>
        <w:t xml:space="preserve">Table 3</w:t>
      </w:r>
    </w:p>
    <w:p>
      <w:pPr>
        <w:pStyle w:val="Textkrper"/>
      </w:pPr>
      <w:r>
        <w:t xml:space="preserve">The exploratory structural equation model (ESEM) of the final model with all five domains fits well with CFI = .87, RMSEA = .072, SRMR = .036. As you can see in</w:t>
      </w:r>
      <w:r>
        <w:t xml:space="preserve"> </w:t>
      </w:r>
      <w:r>
        <w:rPr>
          <w:i/>
        </w:rPr>
        <w:t xml:space="preserve">Table 4</w:t>
      </w:r>
      <w:r>
        <w:t xml:space="preserve"> </w:t>
      </w:r>
      <w:r>
        <w:t xml:space="preserve">nearly all facets load significantly on their intended domain, but sometimes have loadings on other domains also, which are conform with the theory and the facet content.</w:t>
      </w:r>
    </w:p>
    <w:p>
      <w:pPr>
        <w:pStyle w:val="Textkrper"/>
      </w:pPr>
      <w:r>
        <w:t xml:space="preserve">Table 4</w:t>
      </w:r>
    </w:p>
    <w:p>
      <w:pPr>
        <w:pStyle w:val="Compact"/>
      </w:pPr>
      <w:r>
        <w:t xml:space="preserve">Reading model: esem_all facets on all domains without o8, a5, a4, e2.out</w:t>
      </w:r>
    </w:p>
    <w:p>
      <w:pPr>
        <w:pStyle w:val="berschrift3"/>
      </w:pPr>
      <w:bookmarkStart w:id="42" w:name="criterion-vaidity-evidence"/>
      <w:r>
        <w:t xml:space="preserve">Criterion vaidity evidence</w:t>
      </w:r>
      <w:bookmarkEnd w:id="42"/>
    </w:p>
    <w:p>
      <w:pPr>
        <w:pStyle w:val="FirstParagraph"/>
      </w:pPr>
      <w:r>
        <w:t xml:space="preserve">Something has to be said here.</w:t>
      </w:r>
    </w:p>
    <w:p>
      <w:pPr>
        <w:pStyle w:val="berschrift2"/>
      </w:pPr>
      <w:bookmarkStart w:id="43" w:name="study-2-german-sample"/>
      <w:r>
        <w:t xml:space="preserve">Study 2 – German Sample</w:t>
      </w:r>
      <w:bookmarkEnd w:id="43"/>
    </w:p>
    <w:p>
      <w:pPr>
        <w:pStyle w:val="berschrift3"/>
      </w:pPr>
      <w:bookmarkStart w:id="44" w:name="participants-1"/>
      <w:r>
        <w:t xml:space="preserve">Participants</w:t>
      </w:r>
      <w:bookmarkEnd w:id="44"/>
    </w:p>
    <w:p>
      <w:pPr>
        <w:pStyle w:val="FirstParagraph"/>
      </w:pPr>
      <w:r>
        <w:t xml:space="preserve">The representative sample consisted of 387 German speakers (49.1% male) with a mean age of 45.6 years (SD=17.5).</w:t>
      </w:r>
    </w:p>
    <w:p>
      <w:pPr>
        <w:pStyle w:val="berschrift3"/>
      </w:pPr>
      <w:bookmarkStart w:id="45" w:name="measures"/>
      <w:r>
        <w:t xml:space="preserve">Measures</w:t>
      </w:r>
      <w:bookmarkEnd w:id="45"/>
    </w:p>
    <w:p>
      <w:pPr>
        <w:pStyle w:val="FirstParagraph"/>
      </w:pPr>
      <w:r>
        <w:t xml:space="preserve">The five items per facet derived from Study 1 were translated and back-translated by bilingual experts, creating a German version of the measure used there.</w:t>
      </w:r>
    </w:p>
    <w:p>
      <w:pPr>
        <w:pStyle w:val="berschrift2"/>
      </w:pPr>
      <w:bookmarkStart w:id="46" w:name="procedure-1"/>
      <w:r>
        <w:t xml:space="preserve">Procedure</w:t>
      </w:r>
      <w:bookmarkEnd w:id="46"/>
    </w:p>
    <w:p>
      <w:pPr>
        <w:pStyle w:val="berschrift3"/>
      </w:pPr>
      <w:bookmarkStart w:id="47" w:name="step-1-examining-the-structure."/>
      <w:r>
        <w:t xml:space="preserve">Step 1 – Examining the structure.</w:t>
      </w:r>
      <w:bookmarkEnd w:id="47"/>
    </w:p>
    <w:p>
      <w:pPr>
        <w:pStyle w:val="FirstParagraph"/>
      </w:pPr>
      <w:r>
        <w:t xml:space="preserve">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berschrift3"/>
      </w:pPr>
      <w:bookmarkStart w:id="48" w:name="step-2-testing-for-measurement-invariance."/>
      <w:r>
        <w:t xml:space="preserve">Step 2 – Testing for measurement invariance.</w:t>
      </w:r>
      <w:bookmarkEnd w:id="48"/>
    </w:p>
    <w:p>
      <w:pPr>
        <w:pStyle w:val="FirstParagraph"/>
      </w:pPr>
      <w:r>
        <w:t xml:space="preserve">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(Chen, 2007).</w:t>
      </w:r>
    </w:p>
    <w:p>
      <w:pPr>
        <w:pStyle w:val="berschrift2"/>
      </w:pPr>
      <w:bookmarkStart w:id="49" w:name="results-1"/>
      <w:r>
        <w:t xml:space="preserve">Results</w:t>
      </w:r>
      <w:bookmarkEnd w:id="49"/>
    </w:p>
    <w:p>
      <w:pPr>
        <w:pStyle w:val="berschrift3"/>
      </w:pPr>
      <w:bookmarkStart w:id="50" w:name="results-of-cfa"/>
      <w:r>
        <w:t xml:space="preserve">Results of CFA</w:t>
      </w:r>
      <w:bookmarkEnd w:id="50"/>
    </w:p>
    <w:p>
      <w:pPr>
        <w:pStyle w:val="FirstParagraph"/>
      </w:pPr>
      <w:r>
        <w:t xml:space="preserve">The measurement models of the American sample were replicated for the reduced number of item per facet. Model fits can be seen in Table 4. The ESEM with all five domains fits well with CFI = .82, RMSEA = .078, SRMR = .044. Table 5 shows the ESEM factor loadings for the German sample. All facets load significantly on their intended domain but can have loadings on other domains as well.</w:t>
      </w:r>
    </w:p>
    <w:p>
      <w:pPr>
        <w:pStyle w:val="berschrift2"/>
      </w:pPr>
      <w:bookmarkStart w:id="51" w:name="results-of-mi"/>
      <w:r>
        <w:t xml:space="preserve">Results of MI</w:t>
      </w:r>
      <w:bookmarkEnd w:id="51"/>
    </w:p>
    <w:p>
      <w:pPr>
        <w:pStyle w:val="FirstParagraph"/>
      </w:pPr>
      <w:r>
        <w:t xml:space="preserve">For analyzing the measurement invariance the latest facet model structure (with additional facets) was taken. The results are shown in Table 6.</w:t>
      </w:r>
      <w:r>
        <w:t xml:space="preserve"> </w:t>
      </w:r>
      <w:r>
        <w:t xml:space="preserve">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is Shyness, a facet of Extraversion</w:t>
      </w:r>
    </w:p>
    <w:p>
      <w:pPr>
        <w:pStyle w:val="berschrift1"/>
      </w:pPr>
      <w:bookmarkStart w:id="52" w:name="discussion"/>
      <w:r>
        <w:t xml:space="preserve">Discussion</w:t>
      </w:r>
      <w:bookmarkEnd w:id="52"/>
    </w:p>
    <w:p>
      <w:pPr>
        <w:pStyle w:val="FirstParagraph"/>
      </w:pPr>
      <w:r>
        <w:t xml:space="preserve">We have come out to a open access instrument which is valid in two different cultures and maximizes the number of facets measured.</w:t>
      </w:r>
    </w:p>
    <w:p>
      <w:pPr>
        <w:pStyle w:val="Textkrper"/>
      </w:pPr>
      <w:r>
        <w:t xml:space="preserve">We cover all the</w:t>
      </w:r>
      <w:r>
        <w:t xml:space="preserve"> </w:t>
      </w:r>
      <w:r>
        <w:t xml:space="preserve">“</w:t>
      </w:r>
      <w:r>
        <w:t xml:space="preserve">core</w:t>
      </w:r>
      <w:r>
        <w:t xml:space="preserve">”</w:t>
      </w:r>
      <w:r>
        <w:t xml:space="preserve"> </w:t>
      </w:r>
      <w:r>
        <w:t xml:space="preserve">facets proposed by soto and john. We also cover all the facets proposed by the most influential Big Five measures as seen in table 1. In addition we included even more facets.</w:t>
      </w:r>
    </w:p>
    <w:p>
      <w:pPr>
        <w:pStyle w:val="Textkrper"/>
      </w:pPr>
      <w:r>
        <w:t xml:space="preserve">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berschrift1"/>
      </w:pPr>
      <w:bookmarkStart w:id="53" w:name="references"/>
      <w:r>
        <w:t xml:space="preserve">References</w:t>
      </w:r>
      <w:bookmarkEnd w:id="53"/>
    </w:p>
    <w:bookmarkStart w:id="80" w:name="refs"/>
    <w:bookmarkStart w:id="55" w:name="ref-Bagby2018"/>
    <w:p>
      <w:pPr>
        <w:pStyle w:val="FirstParagraph"/>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54">
        <w:r>
          <w:rPr>
            <w:rStyle w:val="Hyperlink"/>
          </w:rPr>
          <w:t xml:space="preserve">10.1037/pas0000523</w:t>
        </w:r>
      </w:hyperlink>
    </w:p>
    <w:bookmarkEnd w:id="55"/>
    <w:bookmarkStart w:id="57" w:name="ref-Clark2005"/>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56">
        <w:r>
          <w:rPr>
            <w:rStyle w:val="Hyperlink"/>
          </w:rPr>
          <w:t xml:space="preserve">10.1037/0021-843X.114.4.505</w:t>
        </w:r>
      </w:hyperlink>
    </w:p>
    <w:bookmarkEnd w:id="57"/>
    <w:bookmarkStart w:id="59"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58">
        <w:r>
          <w:rPr>
            <w:rStyle w:val="Hyperlink"/>
          </w:rPr>
          <w:t xml:space="preserve">10.1037/10140-003</w:t>
        </w:r>
      </w:hyperlink>
    </w:p>
    <w:bookmarkEnd w:id="59"/>
    <w:bookmarkStart w:id="61" w:name="ref-Ziegler2014"/>
    <w:p>
      <w:pPr>
        <w:pStyle w:val="Textkrper"/>
      </w:pPr>
      <w:r>
        <w:t xml:space="preserve">John, O. P., Hampson, S. E., Goldberg, L. R., Johnson, J. A., Eber, H. W., Hogan, R., … Digman, J. M. (2014). The basic level in personality - trait hierarchies:Studies of trait use and accessibility in different contexts.</w:t>
      </w:r>
      <w:r>
        <w:t xml:space="preserve"> </w:t>
      </w:r>
      <w:r>
        <w:rPr>
          <w:i/>
        </w:rPr>
        <w:t xml:space="preserve">Journal of Research in Personality</w:t>
      </w:r>
      <w:r>
        <w:t xml:space="preserve">,</w:t>
      </w:r>
      <w:r>
        <w:t xml:space="preserve"> </w:t>
      </w:r>
      <w:r>
        <w:rPr>
          <w:i/>
        </w:rPr>
        <w:t xml:space="preserve">20</w:t>
      </w:r>
      <w:r>
        <w:t xml:space="preserve">(1), 411–418. doi:</w:t>
      </w:r>
      <w:hyperlink r:id="rId60">
        <w:r>
          <w:rPr>
            <w:rStyle w:val="Hyperlink"/>
          </w:rPr>
          <w:t xml:space="preserve">10.1016/j.lindif.2013.10.008</w:t>
        </w:r>
      </w:hyperlink>
    </w:p>
    <w:bookmarkEnd w:id="61"/>
    <w:bookmarkStart w:id="63"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62">
        <w:r>
          <w:rPr>
            <w:rStyle w:val="Hyperlink"/>
          </w:rPr>
          <w:t xml:space="preserve">10.1016/j.lindif.2003.08.001</w:t>
        </w:r>
      </w:hyperlink>
    </w:p>
    <w:bookmarkEnd w:id="63"/>
    <w:bookmarkStart w:id="65" w:name="ref-Marsh2010"/>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64">
        <w:r>
          <w:rPr>
            <w:rStyle w:val="Hyperlink"/>
          </w:rPr>
          <w:t xml:space="preserve">10.1037/a0019227</w:t>
        </w:r>
      </w:hyperlink>
    </w:p>
    <w:bookmarkEnd w:id="65"/>
    <w:bookmarkStart w:id="67"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66">
        <w:r>
          <w:rPr>
            <w:rStyle w:val="Hyperlink"/>
          </w:rPr>
          <w:t xml:space="preserve">10.1037/0003-066X.61.3.204</w:t>
        </w:r>
      </w:hyperlink>
    </w:p>
    <w:bookmarkEnd w:id="67"/>
    <w:bookmarkStart w:id="69"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68">
        <w:r>
          <w:rPr>
            <w:rStyle w:val="Hyperlink"/>
          </w:rPr>
          <w:t xml:space="preserve">10.1006/jrpe.2000.2309</w:t>
        </w:r>
      </w:hyperlink>
    </w:p>
    <w:bookmarkEnd w:id="69"/>
    <w:bookmarkStart w:id="71"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70">
        <w:r>
          <w:rPr>
            <w:rStyle w:val="Hyperlink"/>
          </w:rPr>
          <w:t xml:space="preserve">10.1111/1467-6494.00142</w:t>
        </w:r>
      </w:hyperlink>
    </w:p>
    <w:bookmarkEnd w:id="71"/>
    <w:bookmarkStart w:id="73"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72">
        <w:r>
          <w:rPr>
            <w:rStyle w:val="Hyperlink"/>
          </w:rPr>
          <w:t xml:space="preserve">10.1016/j.cpr.2008.07.002</w:t>
        </w:r>
      </w:hyperlink>
    </w:p>
    <w:bookmarkEnd w:id="73"/>
    <w:bookmarkStart w:id="75"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74">
        <w:r>
          <w:rPr>
            <w:rStyle w:val="Hyperlink"/>
          </w:rPr>
          <w:t xml:space="preserve">10.1016/j.cpr.2002.09.001</w:t>
        </w:r>
      </w:hyperlink>
    </w:p>
    <w:bookmarkEnd w:id="75"/>
    <w:bookmarkStart w:id="77" w:name="ref-SotoJohn2009"/>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76">
        <w:r>
          <w:rPr>
            <w:rStyle w:val="Hyperlink"/>
          </w:rPr>
          <w:t xml:space="preserve">10.1016/j.jrp.2008.10.002</w:t>
        </w:r>
      </w:hyperlink>
    </w:p>
    <w:bookmarkEnd w:id="77"/>
    <w:bookmarkStart w:id="79"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78">
        <w:r>
          <w:rPr>
            <w:rStyle w:val="Hyperlink"/>
          </w:rPr>
          <w:t xml:space="preserve">10.1002/per</w:t>
        </w:r>
      </w:hyperlink>
    </w:p>
    <w:bookmarkEnd w:id="79"/>
    <w:bookmarkEnd w:id="80"/>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doi.org/10.1002/per" TargetMode="External" /><Relationship Type="http://schemas.openxmlformats.org/officeDocument/2006/relationships/hyperlink" Id="rId68" Target="https://doi.org/10.1006/jrpe.2000.2309" TargetMode="External" /><Relationship Type="http://schemas.openxmlformats.org/officeDocument/2006/relationships/hyperlink" Id="rId74" Target="https://doi.org/10.1016/j.cpr.2002.09.001" TargetMode="External" /><Relationship Type="http://schemas.openxmlformats.org/officeDocument/2006/relationships/hyperlink" Id="rId72" Target="https://doi.org/10.1016/j.cpr.2008.07.002" TargetMode="External" /><Relationship Type="http://schemas.openxmlformats.org/officeDocument/2006/relationships/hyperlink" Id="rId76" Target="https://doi.org/10.1016/j.jrp.2008.10.002" TargetMode="External" /><Relationship Type="http://schemas.openxmlformats.org/officeDocument/2006/relationships/hyperlink" Id="rId62" Target="https://doi.org/10.1016/j.lindif.2003.08.001" TargetMode="External" /><Relationship Type="http://schemas.openxmlformats.org/officeDocument/2006/relationships/hyperlink" Id="rId60" Target="https://doi.org/10.1016/j.lindif.2013.10.008" TargetMode="External" /><Relationship Type="http://schemas.openxmlformats.org/officeDocument/2006/relationships/hyperlink" Id="rId66" Target="https://doi.org/10.1037/0003-066X.61.3.204" TargetMode="External" /><Relationship Type="http://schemas.openxmlformats.org/officeDocument/2006/relationships/hyperlink" Id="rId56" Target="https://doi.org/10.1037/0021-843X.114.4.505" TargetMode="External" /><Relationship Type="http://schemas.openxmlformats.org/officeDocument/2006/relationships/hyperlink" Id="rId58" Target="https://doi.org/10.1037/10140-003" TargetMode="External" /><Relationship Type="http://schemas.openxmlformats.org/officeDocument/2006/relationships/hyperlink" Id="rId64" Target="https://doi.org/10.1037/a0019227" TargetMode="External" /><Relationship Type="http://schemas.openxmlformats.org/officeDocument/2006/relationships/hyperlink" Id="rId54" Target="https://doi.org/10.1037/pas0000523" TargetMode="External" /><Relationship Type="http://schemas.openxmlformats.org/officeDocument/2006/relationships/hyperlink" Id="rId70" Target="https://doi.org/10.1111/1467-6494.00142"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per" TargetMode="External" /><Relationship Type="http://schemas.openxmlformats.org/officeDocument/2006/relationships/hyperlink" Id="rId68" Target="https://doi.org/10.1006/jrpe.2000.2309" TargetMode="External" /><Relationship Type="http://schemas.openxmlformats.org/officeDocument/2006/relationships/hyperlink" Id="rId74" Target="https://doi.org/10.1016/j.cpr.2002.09.001" TargetMode="External" /><Relationship Type="http://schemas.openxmlformats.org/officeDocument/2006/relationships/hyperlink" Id="rId72" Target="https://doi.org/10.1016/j.cpr.2008.07.002" TargetMode="External" /><Relationship Type="http://schemas.openxmlformats.org/officeDocument/2006/relationships/hyperlink" Id="rId76" Target="https://doi.org/10.1016/j.jrp.2008.10.002" TargetMode="External" /><Relationship Type="http://schemas.openxmlformats.org/officeDocument/2006/relationships/hyperlink" Id="rId62" Target="https://doi.org/10.1016/j.lindif.2003.08.001" TargetMode="External" /><Relationship Type="http://schemas.openxmlformats.org/officeDocument/2006/relationships/hyperlink" Id="rId60" Target="https://doi.org/10.1016/j.lindif.2013.10.008" TargetMode="External" /><Relationship Type="http://schemas.openxmlformats.org/officeDocument/2006/relationships/hyperlink" Id="rId66" Target="https://doi.org/10.1037/0003-066X.61.3.204" TargetMode="External" /><Relationship Type="http://schemas.openxmlformats.org/officeDocument/2006/relationships/hyperlink" Id="rId56" Target="https://doi.org/10.1037/0021-843X.114.4.505" TargetMode="External" /><Relationship Type="http://schemas.openxmlformats.org/officeDocument/2006/relationships/hyperlink" Id="rId58" Target="https://doi.org/10.1037/10140-003" TargetMode="External" /><Relationship Type="http://schemas.openxmlformats.org/officeDocument/2006/relationships/hyperlink" Id="rId64" Target="https://doi.org/10.1037/a0019227" TargetMode="External" /><Relationship Type="http://schemas.openxmlformats.org/officeDocument/2006/relationships/hyperlink" Id="rId54" Target="https://doi.org/10.1037/pas0000523" TargetMode="External" /><Relationship Type="http://schemas.openxmlformats.org/officeDocument/2006/relationships/hyperlink" Id="rId70" Target="https://doi.org/10.1111/1467-6494.00142"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creator/>
  <cp:keywords/>
  <dcterms:created xsi:type="dcterms:W3CDTF">2018-07-03T09:57:04Z</dcterms:created>
  <dcterms:modified xsi:type="dcterms:W3CDTF">2018-07-03T09:57:04Z</dcterms:modified>
</cp:coreProperties>
</file>