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&amp; Matthias Ziegler</w:t>
            </w:r>
            <w:r>
              <w:rPr>
                <w:vertAlign w:val="superscript"/>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634B0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AD587A" w:rsidRDefault="00C96047" w:rsidP="00C96047">
            <w:pPr>
              <w:rPr>
                <w:color w:val="000000"/>
                <w:lang w:val="en-GB"/>
              </w:rPr>
            </w:pPr>
            <w:r w:rsidRPr="00AD587A">
              <w:rPr>
                <w:color w:val="000000"/>
                <w:lang w:val="en-GB"/>
              </w:rPr>
              <w:t xml:space="preserve">- Callous affect (-.68) </w:t>
            </w:r>
          </w:p>
          <w:p w14:paraId="748C4F71"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634B0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634B0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634B0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634B0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634B0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634B0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634B0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5307520D" w14:textId="77777777" w:rsidR="000E125A" w:rsidRPr="00AD587A" w:rsidRDefault="00C96047" w:rsidP="00C96047">
            <w:pPr>
              <w:rPr>
                <w:color w:val="000000"/>
                <w:lang w:val="en-GB"/>
              </w:rPr>
            </w:pPr>
            <w:r w:rsidRPr="00AD587A">
              <w:rPr>
                <w:color w:val="000000"/>
                <w:lang w:val="en-GB"/>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634B0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AD587A" w:rsidRDefault="00C96047" w:rsidP="00C96047">
            <w:pPr>
              <w:rPr>
                <w:color w:val="000000"/>
                <w:lang w:val="en-GB"/>
              </w:rPr>
            </w:pPr>
            <w:r w:rsidRPr="00AD587A">
              <w:rPr>
                <w:color w:val="000000"/>
                <w:lang w:val="en-GB"/>
              </w:rPr>
              <w:t xml:space="preserve">+ Autism-spectrum Quotient (.33) </w:t>
            </w:r>
          </w:p>
          <w:p w14:paraId="4A209620" w14:textId="77777777" w:rsidR="000E125A" w:rsidRPr="00AD587A" w:rsidRDefault="00C96047" w:rsidP="00C96047">
            <w:pPr>
              <w:rPr>
                <w:color w:val="000000"/>
                <w:lang w:val="en-GB"/>
              </w:rPr>
            </w:pPr>
            <w:r w:rsidRPr="00AD587A">
              <w:rPr>
                <w:color w:val="000000"/>
                <w:lang w:val="en-GB"/>
              </w:rPr>
              <w:t>(Wakabayashi</w:t>
            </w:r>
            <w:r w:rsidR="000E125A" w:rsidRPr="00AD587A">
              <w:rPr>
                <w:color w:val="000000"/>
                <w:lang w:val="en-GB"/>
              </w:rPr>
              <w:t xml:space="preserve"> et al.</w:t>
            </w:r>
            <w:r w:rsidRPr="00AD587A">
              <w:rPr>
                <w:color w:val="000000"/>
                <w:lang w:val="en-GB"/>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634B0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634B0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AD587A" w:rsidRDefault="00C96047" w:rsidP="00C96047">
            <w:pPr>
              <w:rPr>
                <w:color w:val="000000"/>
                <w:lang w:val="en-GB"/>
              </w:rPr>
            </w:pPr>
            <w:r w:rsidRPr="00AD587A">
              <w:rPr>
                <w:color w:val="000000"/>
                <w:lang w:val="en-GB"/>
              </w:rPr>
              <w:t xml:space="preserve">- Autism-spectrum Quotient (-.43) </w:t>
            </w:r>
          </w:p>
          <w:p w14:paraId="449E1103"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Wakabayashi et al., 2006</w:t>
            </w:r>
            <w:r w:rsidRPr="00AD587A">
              <w:rPr>
                <w:b/>
                <w:bCs/>
                <w:color w:val="000000"/>
                <w:lang w:val="en-GB"/>
              </w:rPr>
              <w:t>)</w:t>
            </w:r>
          </w:p>
        </w:tc>
        <w:tc>
          <w:tcPr>
            <w:tcW w:w="2477" w:type="dxa"/>
            <w:tcBorders>
              <w:top w:val="nil"/>
              <w:left w:val="nil"/>
              <w:bottom w:val="nil"/>
              <w:right w:val="nil"/>
            </w:tcBorders>
            <w:shd w:val="clear" w:color="auto" w:fill="auto"/>
            <w:noWrap/>
            <w:hideMark/>
          </w:tcPr>
          <w:p w14:paraId="7EFF8BC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CA1925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D7870B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891D82" w14:textId="77777777" w:rsidR="00C96047" w:rsidRPr="00AD587A" w:rsidRDefault="00C96047" w:rsidP="00C96047">
            <w:pPr>
              <w:rPr>
                <w:sz w:val="20"/>
                <w:szCs w:val="20"/>
                <w:lang w:val="en-GB"/>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C7F54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634B0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634B0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634B0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24B0050"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634B0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634B0A"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AD587A" w:rsidRDefault="00C96047" w:rsidP="00C96047">
            <w:pPr>
              <w:rPr>
                <w:color w:val="000000"/>
                <w:lang w:val="en-GB"/>
              </w:rPr>
            </w:pPr>
            <w:r w:rsidRPr="00AD587A">
              <w:rPr>
                <w:color w:val="000000"/>
                <w:lang w:val="en-GB"/>
              </w:rPr>
              <w:t xml:space="preserve">- Callous affect </w:t>
            </w:r>
            <w:r w:rsidRPr="00AD587A">
              <w:rPr>
                <w:b/>
                <w:bCs/>
                <w:color w:val="000000"/>
                <w:lang w:val="en-GB"/>
              </w:rPr>
              <w:t>(</w:t>
            </w:r>
            <w:r w:rsidRPr="00AD587A">
              <w:rPr>
                <w:color w:val="000000"/>
                <w:lang w:val="en-GB"/>
              </w:rPr>
              <w:t>-.56</w:t>
            </w:r>
            <w:r w:rsidRPr="00AD587A">
              <w:rPr>
                <w:b/>
                <w:bCs/>
                <w:color w:val="000000"/>
                <w:lang w:val="en-GB"/>
              </w:rPr>
              <w:t>)</w:t>
            </w:r>
            <w:r w:rsidRPr="00AD587A">
              <w:rPr>
                <w:color w:val="000000"/>
                <w:lang w:val="en-GB"/>
              </w:rPr>
              <w:t xml:space="preserve"> </w:t>
            </w:r>
          </w:p>
          <w:p w14:paraId="2B8968C5"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C76F2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0071C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1AB3B0" w14:textId="77777777" w:rsidR="00C96047" w:rsidRPr="00AD587A" w:rsidRDefault="00C96047" w:rsidP="00C96047">
            <w:pPr>
              <w:rPr>
                <w:sz w:val="20"/>
                <w:szCs w:val="20"/>
                <w:lang w:val="en-GB"/>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775913" w14:textId="77777777" w:rsidR="000E125A" w:rsidRPr="00AD587A" w:rsidRDefault="000E125A" w:rsidP="00C96047">
            <w:pPr>
              <w:rPr>
                <w:color w:val="000000"/>
                <w:lang w:val="en-GB"/>
              </w:rPr>
            </w:pPr>
          </w:p>
          <w:p w14:paraId="5DA11D9E" w14:textId="77777777" w:rsidR="000E125A" w:rsidRPr="00AD587A" w:rsidRDefault="000E125A" w:rsidP="00C96047">
            <w:pPr>
              <w:rPr>
                <w:color w:val="000000"/>
                <w:lang w:val="en-GB"/>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072410"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072410"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072410"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072410"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072410"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AE4A9C"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072410"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072410"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072410"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AD587A" w:rsidRDefault="00C96047" w:rsidP="00C96047">
            <w:pPr>
              <w:rPr>
                <w:color w:val="000000"/>
                <w:lang w:val="en-GB"/>
              </w:rPr>
            </w:pPr>
            <w:r w:rsidRPr="00AD587A">
              <w:rPr>
                <w:color w:val="000000"/>
                <w:lang w:val="en-GB"/>
              </w:rPr>
              <w:t xml:space="preserve">+ Addictive mobile phone </w:t>
            </w:r>
          </w:p>
          <w:p w14:paraId="192C84A9"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.28</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3DBF66D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2D98F4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F5AD869" w14:textId="77777777" w:rsidR="00C96047" w:rsidRPr="00AD587A" w:rsidRDefault="00C96047" w:rsidP="00C96047">
            <w:pPr>
              <w:rPr>
                <w:sz w:val="20"/>
                <w:szCs w:val="20"/>
                <w:lang w:val="en-GB"/>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072410"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AD587A" w:rsidRDefault="00C96047" w:rsidP="00C96047">
            <w:pPr>
              <w:rPr>
                <w:color w:val="000000"/>
                <w:lang w:val="en-GB"/>
              </w:rPr>
            </w:pPr>
            <w:r w:rsidRPr="00AD587A">
              <w:rPr>
                <w:color w:val="000000"/>
                <w:lang w:val="en-GB"/>
              </w:rPr>
              <w:t xml:space="preserve">+ Trendy mobile phone </w:t>
            </w:r>
          </w:p>
          <w:p w14:paraId="5575CC3B"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.31</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19F4DD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77A5EA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C8D8720" w14:textId="77777777" w:rsidR="00C96047" w:rsidRPr="00AD587A" w:rsidRDefault="00C96047" w:rsidP="00C96047">
            <w:pPr>
              <w:rPr>
                <w:sz w:val="20"/>
                <w:szCs w:val="20"/>
                <w:lang w:val="en-GB"/>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072410"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072410"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072410"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77777777"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w:t>
      </w:r>
      <w:proofErr w:type="gramStart"/>
      <w:r w:rsidR="007B3609">
        <w:rPr>
          <w:iCs/>
        </w:rPr>
        <w:t>domains, and</w:t>
      </w:r>
      <w:proofErr w:type="gramEnd"/>
      <w:r w:rsidR="007B3609">
        <w:rPr>
          <w:iCs/>
        </w:rPr>
        <w:t xml:space="preserve"> stresses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6A9AE719"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above cited 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1"/>
      <w:commentRangeStart w:id="12"/>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commentRangeEnd w:id="12"/>
      <w:r w:rsidR="00641218">
        <w:rPr>
          <w:rStyle w:val="Refdecomentario"/>
          <w:rFonts w:asciiTheme="minorHAnsi" w:hAnsiTheme="minorHAnsi"/>
        </w:rPr>
        <w:commentReference w:id="12"/>
      </w:r>
    </w:p>
    <w:p w14:paraId="25CE5CE7" w14:textId="7F649179"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5"/>
      <w:r>
        <w:t>(Salgado, 2017; Chen, 2012</w:t>
      </w:r>
      <w:commentRangeEnd w:id="15"/>
      <w:r>
        <w:rPr>
          <w:rStyle w:val="Refdecomentario"/>
          <w:rFonts w:asciiTheme="minorHAnsi" w:hAnsiTheme="minorHAnsi"/>
        </w:rPr>
        <w:commentReference w:id="15"/>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1139F2EC"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0"/>
      <w:r w:rsidR="00C96047">
        <w:t xml:space="preserve">of </w:t>
      </w:r>
      <w:r w:rsidR="0062683B">
        <w:t xml:space="preserve">work </w:t>
      </w:r>
      <w:commentRangeEnd w:id="20"/>
      <w:r w:rsidR="005A2DA6">
        <w:rPr>
          <w:rStyle w:val="Refdecomentario"/>
          <w:rFonts w:asciiTheme="minorHAnsi" w:hAnsiTheme="minorHAnsi"/>
        </w:rPr>
        <w:commentReference w:id="20"/>
      </w:r>
      <w:r w:rsidR="00C96047">
        <w:t>and educational absent</w:t>
      </w:r>
      <w:r w:rsidR="00161B39">
        <w:t>ee</w:t>
      </w:r>
      <w:r w:rsidR="00C96047">
        <w:t>ism</w:t>
      </w:r>
      <w:r>
        <w:t xml:space="preserve">, with especial attention to inverse correlations between this outcome and the domain </w:t>
      </w:r>
      <w:r>
        <w:lastRenderedPageBreak/>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1"/>
      <w:proofErr w:type="spellStart"/>
      <w:r w:rsidRPr="00112F15">
        <w:t>Wegge</w:t>
      </w:r>
      <w:proofErr w:type="spellEnd"/>
      <w:r w:rsidRPr="00112F15">
        <w:t xml:space="preserve"> &amp; </w:t>
      </w:r>
      <w:proofErr w:type="spellStart"/>
      <w:r w:rsidRPr="00112F15">
        <w:t>Kleinbeck</w:t>
      </w:r>
      <w:commentRangeEnd w:id="21"/>
      <w:proofErr w:type="spellEnd"/>
      <w:r>
        <w:rPr>
          <w:rStyle w:val="Refdecomentario"/>
          <w:rFonts w:asciiTheme="minorHAnsi" w:hAnsiTheme="minorHAnsi"/>
        </w:rPr>
        <w:commentReference w:id="21"/>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w:t>
      </w:r>
      <w:proofErr w:type="gramStart"/>
      <w:r w:rsidR="00CE0A7D">
        <w:t xml:space="preserve">more </w:t>
      </w:r>
      <w:r w:rsidR="0075781F">
        <w:t>vague</w:t>
      </w:r>
      <w:proofErr w:type="gramEnd"/>
      <w:r w:rsidR="00CE0A7D">
        <w:t>. Chamorro-</w:t>
      </w:r>
      <w:proofErr w:type="spellStart"/>
      <w:r w:rsidR="00CE0A7D">
        <w:t>Premuzic</w:t>
      </w:r>
      <w:proofErr w:type="spellEnd"/>
      <w:r w:rsidR="00CE0A7D">
        <w:t xml:space="preserve"> et al. (2003)</w:t>
      </w:r>
      <w:r w:rsidR="0075781F">
        <w:t xml:space="preserve"> as well as </w:t>
      </w:r>
      <w:commentRangeStart w:id="22"/>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2"/>
      <w:r w:rsidR="0075781F">
        <w:rPr>
          <w:rStyle w:val="Refdecomentario"/>
          <w:rFonts w:asciiTheme="minorHAnsi" w:hAnsiTheme="minorHAnsi"/>
        </w:rPr>
        <w:commentReference w:id="2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3"/>
      <w:r>
        <w:rPr>
          <w:rStyle w:val="Refdecomentario"/>
          <w:rFonts w:asciiTheme="minorHAnsi" w:hAnsiTheme="minorHAnsi"/>
        </w:rPr>
        <w:commentReference w:id="23"/>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4" w:name="the-big-five-and-personality-disorders"/>
      <w:bookmarkStart w:id="25" w:name="this-study"/>
      <w:bookmarkEnd w:id="24"/>
      <w:bookmarkEnd w:id="25"/>
      <w:r>
        <w:t xml:space="preserve">1.4 </w:t>
      </w:r>
      <w:r w:rsidR="00C96047">
        <w:t xml:space="preserve">This </w:t>
      </w:r>
      <w:r w:rsidR="00FB0A97">
        <w:t>research</w:t>
      </w:r>
    </w:p>
    <w:p w14:paraId="091B369D" w14:textId="22D01311"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Big Five model</w:t>
      </w:r>
      <w:r w:rsidR="00634B0A">
        <w:t xml:space="preserve"> which maximizes 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w:t>
      </w:r>
      <w:r w:rsidR="00F81A87">
        <w:lastRenderedPageBreak/>
        <w:t>researchers and practitioners at no cost</w:t>
      </w:r>
      <w:r w:rsidR="007764FF">
        <w:t>;</w:t>
      </w:r>
      <w:r w:rsidR="00F81A87">
        <w:t xml:space="preserve"> and with the intention of facilitating internationally usage</w:t>
      </w:r>
      <w:r w:rsidR="00AA2BDB">
        <w:t>,</w:t>
      </w:r>
      <w:r w:rsidR="00F81A87">
        <w:t xml:space="preserv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6" w:name="methods"/>
      <w:bookmarkEnd w:id="26"/>
      <w:r>
        <w:t>Methods</w:t>
      </w:r>
    </w:p>
    <w:p w14:paraId="3258EAE1" w14:textId="0AD9E532" w:rsidR="00AE4A9C" w:rsidRDefault="00C96047" w:rsidP="001F650E">
      <w:pPr>
        <w:pStyle w:val="Ttulo4"/>
      </w:pPr>
      <w:bookmarkStart w:id="27" w:name="study-1---us-american-sample"/>
      <w:bookmarkStart w:id="28" w:name="participants"/>
      <w:bookmarkEnd w:id="27"/>
      <w:bookmarkEnd w:id="28"/>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29"/>
      <w:commentRangeStart w:id="30"/>
      <w:commentRangeStart w:id="31"/>
      <w:commentRangeStart w:id="32"/>
      <w:r>
        <w:t>paper</w:t>
      </w:r>
      <w:commentRangeEnd w:id="29"/>
      <w:r w:rsidR="00F40470">
        <w:rPr>
          <w:rStyle w:val="Refdecomentario"/>
          <w:rFonts w:asciiTheme="minorHAnsi" w:hAnsiTheme="minorHAnsi"/>
        </w:rPr>
        <w:commentReference w:id="29"/>
      </w:r>
      <w:commentRangeEnd w:id="30"/>
      <w:r w:rsidR="00115482">
        <w:rPr>
          <w:rStyle w:val="Refdecomentario"/>
          <w:rFonts w:asciiTheme="minorHAnsi" w:hAnsiTheme="minorHAnsi"/>
        </w:rPr>
        <w:commentReference w:id="30"/>
      </w:r>
      <w:commentRangeEnd w:id="31"/>
      <w:r w:rsidR="007371E8">
        <w:rPr>
          <w:rStyle w:val="Refdecomentario"/>
          <w:rFonts w:asciiTheme="minorHAnsi" w:hAnsiTheme="minorHAnsi"/>
        </w:rPr>
        <w:commentReference w:id="31"/>
      </w:r>
      <w:commentRangeEnd w:id="32"/>
      <w:r w:rsidR="005B0EDF">
        <w:rPr>
          <w:rStyle w:val="Refdecomentario"/>
          <w:rFonts w:asciiTheme="minorHAnsi" w:hAnsiTheme="minorHAnsi"/>
        </w:rPr>
        <w:commentReference w:id="32"/>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3" w:name="measures"/>
      <w:bookmarkEnd w:id="33"/>
      <w:r>
        <w:lastRenderedPageBreak/>
        <w:t>Measures</w:t>
      </w:r>
    </w:p>
    <w:p w14:paraId="042DB80A" w14:textId="19CA634A" w:rsidR="00BD4C60" w:rsidRDefault="00C96047" w:rsidP="00BD4C60">
      <w:pPr>
        <w:pStyle w:val="Ttulo5"/>
      </w:pPr>
      <w:bookmarkStart w:id="34" w:name="items-from-the-international-personality"/>
      <w:bookmarkEnd w:id="34"/>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5" w:name="satisfaction-with-life-swl"/>
      <w:bookmarkEnd w:id="35"/>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6" w:name="gpa"/>
      <w:bookmarkEnd w:id="36"/>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lastRenderedPageBreak/>
        <w:t xml:space="preserve">Absences </w:t>
      </w:r>
    </w:p>
    <w:p w14:paraId="3B352082" w14:textId="33DF1601" w:rsidR="002A43D4" w:rsidRPr="002A43D4" w:rsidRDefault="00485490" w:rsidP="002A43D4">
      <w:pPr>
        <w:pStyle w:val="Textoindependiente"/>
      </w:pPr>
      <w:bookmarkStart w:id="37" w:name="sat"/>
      <w:bookmarkEnd w:id="37"/>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8" w:name="procedure"/>
      <w:bookmarkEnd w:id="38"/>
      <w:r>
        <w:t>Procedure</w:t>
      </w:r>
    </w:p>
    <w:p w14:paraId="4F5BA524" w14:textId="01D07227" w:rsidR="002D2C41" w:rsidRDefault="002D2C41" w:rsidP="00456E3A">
      <w:pPr>
        <w:pStyle w:val="Ttulo5"/>
      </w:pPr>
      <w:bookmarkStart w:id="39" w:name="efa-with-subsample-1"/>
      <w:bookmarkEnd w:id="39"/>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0"/>
      <w:commentRangeStart w:id="41"/>
      <w:r w:rsidR="00BA45DA">
        <w:t>Goldberg (2006)</w:t>
      </w:r>
      <w:commentRangeEnd w:id="40"/>
      <w:r w:rsidR="00BA45DA">
        <w:rPr>
          <w:rStyle w:val="Refdecomentario"/>
          <w:rFonts w:asciiTheme="minorHAnsi" w:hAnsiTheme="minorHAnsi"/>
        </w:rPr>
        <w:commentReference w:id="40"/>
      </w:r>
      <w:commentRangeEnd w:id="41"/>
      <w:r w:rsidR="0066150A">
        <w:rPr>
          <w:rStyle w:val="Refdecomentario"/>
          <w:rFonts w:asciiTheme="minorHAnsi" w:hAnsiTheme="minorHAnsi"/>
        </w:rPr>
        <w:commentReference w:id="41"/>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9C0BBC3"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in </w:t>
      </w:r>
      <w:proofErr w:type="gramStart"/>
      <w:r>
        <w:t>these analysis</w:t>
      </w:r>
      <w:proofErr w:type="gramEnd"/>
      <w:r>
        <w:t>.</w:t>
      </w:r>
    </w:p>
    <w:p w14:paraId="1EEE2FAD" w14:textId="0ACD266C" w:rsidR="00EA382D" w:rsidRDefault="002D2C41" w:rsidP="00456E3A">
      <w:pPr>
        <w:pStyle w:val="Ttulo5"/>
      </w:pPr>
      <w:bookmarkStart w:id="42" w:name="cfa-and-esem-with-subsample-1"/>
      <w:bookmarkEnd w:id="42"/>
      <w:r>
        <w:lastRenderedPageBreak/>
        <w:t>Confirmatory Factor Analysis (</w:t>
      </w:r>
      <w:r w:rsidR="00C96047">
        <w:t>CFA</w:t>
      </w:r>
      <w:r>
        <w:t>)</w:t>
      </w:r>
    </w:p>
    <w:p w14:paraId="0D4B37EB" w14:textId="0A1F00F4"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commentRangeStart w:id="43"/>
      <w:r w:rsidR="0066150A">
        <w:t xml:space="preserve">Model fit was determined based on Hu and </w:t>
      </w:r>
      <w:proofErr w:type="spellStart"/>
      <w:r w:rsidR="0066150A">
        <w:t>Bentler’s</w:t>
      </w:r>
      <w:proofErr w:type="spellEnd"/>
      <w:r w:rsidR="0066150A">
        <w:t xml:space="preserve"> (1999) guidelines, as well as </w:t>
      </w:r>
      <w:proofErr w:type="spellStart"/>
      <w:r w:rsidR="0066150A">
        <w:t>Beauducel</w:t>
      </w:r>
      <w:proofErr w:type="spellEnd"/>
      <w:r w:rsidR="0066150A">
        <w:t xml:space="preserve"> and Wittmann (2005)</w:t>
      </w:r>
      <w:commentRangeEnd w:id="43"/>
      <w:r w:rsidR="0066150A">
        <w:rPr>
          <w:rStyle w:val="Refdecomentario"/>
          <w:rFonts w:asciiTheme="minorHAnsi" w:hAnsiTheme="minorHAnsi"/>
        </w:rPr>
        <w:commentReference w:id="43"/>
      </w:r>
      <w:r w:rsidR="0066150A">
        <w:t xml:space="preserve">. Consequently, to consider a good fit of a proposed model, the Comparative Fit Index (CFI) should be at or over .95, the Standardized Root Mean Squared Residual (SRMSR) smaller than .08 and the Root Mean Square Error of Approximation (RMSEA) smaller than .06. </w:t>
      </w:r>
    </w:p>
    <w:p w14:paraId="6E7A5B27" w14:textId="6AAFBCBF" w:rsidR="00356CD3" w:rsidRDefault="00356CD3" w:rsidP="00356CD3">
      <w:pPr>
        <w:pStyle w:val="Ttulo5"/>
      </w:pPr>
      <w:r>
        <w:t>Exploratory Structural Equation Modelling (ESEM)</w:t>
      </w:r>
    </w:p>
    <w:p w14:paraId="779E5E31" w14:textId="4348C608" w:rsidR="00356CD3" w:rsidRPr="00356CD3" w:rsidRDefault="00356CD3" w:rsidP="00356CD3">
      <w:pPr>
        <w:pStyle w:val="Maintext"/>
      </w:pPr>
      <w:r>
        <w:t>In a third step with the second subsample, the</w:t>
      </w:r>
      <w:r w:rsidR="001F650E">
        <w:t xml:space="preserve"> previously found facet models </w:t>
      </w:r>
      <w:r>
        <w:t xml:space="preserve">were integrated in the Big Five </w:t>
      </w:r>
      <w:r w:rsidR="001F650E">
        <w:t>framework</w:t>
      </w:r>
      <w:r>
        <w:t xml:space="preserve"> using ESEM (</w:t>
      </w:r>
      <w:proofErr w:type="spellStart"/>
      <w:r>
        <w:t>Asparouhov</w:t>
      </w:r>
      <w:proofErr w:type="spellEnd"/>
      <w:r>
        <w:t xml:space="preserve"> &amp; </w:t>
      </w:r>
      <w:proofErr w:type="spellStart"/>
      <w:r>
        <w:t>Muthén</w:t>
      </w:r>
      <w:proofErr w:type="spellEnd"/>
      <w:r>
        <w:t xml:space="preserve">, 2009). ESEM was used to model the higher order structure as it can accommodate personality data more naturally by allowing cross-loadings (Marsh et al., 2010). As a control mechanism for content-validity, we eliminated any facet with non-significant loadings from its intended domain. The ESEM was fitted using </w:t>
      </w:r>
      <w:proofErr w:type="spellStart"/>
      <w:r>
        <w:t>geomin</w:t>
      </w:r>
      <w:proofErr w:type="spellEnd"/>
      <w:r>
        <w:t xml:space="preserve"> oblique rotation and ML estimation. </w:t>
      </w:r>
      <w:commentRangeStart w:id="44"/>
      <w:r>
        <w:t>For the ESEM models, we compared our model fit with the findings by Marsh et al. (2010), which uses more lenient cut-offs for ESEM models</w:t>
      </w:r>
      <w:commentRangeEnd w:id="44"/>
      <w:r>
        <w:rPr>
          <w:rStyle w:val="Refdecomentario"/>
          <w:rFonts w:asciiTheme="minorHAnsi" w:hAnsiTheme="minorHAnsi"/>
        </w:rPr>
        <w:commentReference w:id="44"/>
      </w:r>
      <w:r>
        <w:t>.</w:t>
      </w:r>
    </w:p>
    <w:p w14:paraId="5A8ED1BA" w14:textId="77777777" w:rsidR="00456E3A" w:rsidRPr="00233011" w:rsidRDefault="00456E3A" w:rsidP="00456E3A">
      <w:pPr>
        <w:pStyle w:val="Ttulo5"/>
      </w:pPr>
      <w:r>
        <w:lastRenderedPageBreak/>
        <w:t>Nomological network</w:t>
      </w:r>
    </w:p>
    <w:p w14:paraId="3410C19C" w14:textId="51606C51" w:rsidR="00456E3A" w:rsidRPr="00380EA7" w:rsidRDefault="00456E3A" w:rsidP="00456E3A">
      <w:pPr>
        <w:pStyle w:val="Maintext"/>
      </w:pPr>
      <w:r w:rsidRPr="00380EA7">
        <w:t xml:space="preserve">To examine </w:t>
      </w:r>
      <w:r w:rsidR="00356CD3">
        <w:t xml:space="preserve">associations between our proposed set of facets and external criteria, </w:t>
      </w:r>
      <w:r w:rsidRPr="00233011">
        <w:t>a set of linear models and correlations were fitted</w:t>
      </w:r>
      <w:r w:rsidR="001F650E">
        <w:t>, again with subsample 2</w:t>
      </w:r>
      <w:r w:rsidRPr="00233011">
        <w:t>. Pearson</w:t>
      </w:r>
      <w:r w:rsidR="00356CD3">
        <w:t xml:space="preserve"> zero-order</w:t>
      </w:r>
      <w:r w:rsidRPr="00233011">
        <w:t xml:space="preserve"> correlation</w:t>
      </w:r>
      <w:r>
        <w:t>s</w:t>
      </w:r>
      <w:r w:rsidRPr="00233011">
        <w:t xml:space="preserve"> w</w:t>
      </w:r>
      <w:r>
        <w:t>ere</w:t>
      </w:r>
      <w:r w:rsidRPr="00233011">
        <w:t xml:space="preserve"> calculated for each </w:t>
      </w:r>
      <w:r>
        <w:t>outcome</w:t>
      </w:r>
      <w:r w:rsidRPr="00233011">
        <w:t xml:space="preserve"> with</w:t>
      </w:r>
      <w:r w:rsidR="001F650E">
        <w:t xml:space="preserve"> both</w:t>
      </w:r>
      <w:r w:rsidRPr="00233011">
        <w:t xml:space="preserve"> facet</w:t>
      </w:r>
      <w:r>
        <w:t>s</w:t>
      </w:r>
      <w:r w:rsidRPr="00233011">
        <w:t xml:space="preserve"> </w:t>
      </w:r>
      <w:r>
        <w:t>and</w:t>
      </w:r>
      <w:r w:rsidRPr="00233011">
        <w:t xml:space="preserve"> </w:t>
      </w:r>
      <w:r w:rsidR="00485490">
        <w:t>domains</w:t>
      </w:r>
      <w:r>
        <w:t>’</w:t>
      </w:r>
      <w:r w:rsidRPr="00233011">
        <w:t xml:space="preserve"> score</w:t>
      </w:r>
      <w:r>
        <w:t>s</w:t>
      </w:r>
      <w:r w:rsidRPr="00233011">
        <w:t xml:space="preserve">. One linear model per </w:t>
      </w:r>
      <w:r>
        <w:t>domain</w:t>
      </w:r>
      <w:r w:rsidRPr="00233011">
        <w:t xml:space="preserve"> and per criteria was fitted, using all facets </w:t>
      </w:r>
      <w:r>
        <w:t>included in</w:t>
      </w:r>
      <w:r w:rsidRPr="00233011">
        <w:t xml:space="preserve"> the domain</w:t>
      </w:r>
      <w:r>
        <w:t>s</w:t>
      </w:r>
      <w:r w:rsidRPr="00233011">
        <w:t xml:space="preserve"> as predictors</w:t>
      </w:r>
      <w:r w:rsidR="00356CD3">
        <w:t>, but excluding the domain sum-scores</w:t>
      </w:r>
      <w:r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0E3B484"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lastRenderedPageBreak/>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1059"/>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t>D</w:t>
            </w:r>
            <w:r w:rsidR="007E25C3">
              <w:rPr>
                <w:rFonts w:ascii="Arial" w:hAnsi="Arial" w:cs="Arial"/>
                <w:sz w:val="20"/>
                <w:szCs w:val="20"/>
                <w:lang w:val="en-GB"/>
              </w:rPr>
              <w:t>omain</w:t>
            </w:r>
            <w:r w:rsidRPr="006D4017">
              <w:rPr>
                <w:rFonts w:ascii="Arial" w:hAnsi="Arial" w:cs="Arial"/>
                <w:sz w:val="20"/>
                <w:szCs w:val="20"/>
                <w:lang w:val="en-GB"/>
              </w:rPr>
              <w:t xml:space="preserve"> (</w:t>
            </w:r>
            <w:commentRangeStart w:id="45"/>
            <w:r w:rsidRPr="006D4017">
              <w:rPr>
                <w:rFonts w:ascii="Arial" w:hAnsi="Arial" w:cs="Arial"/>
                <w:sz w:val="20"/>
                <w:szCs w:val="20"/>
                <w:lang w:val="en-GB"/>
              </w:rPr>
              <w:t xml:space="preserve">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commentRangeEnd w:id="45"/>
            <w:r w:rsidR="00DC1293">
              <w:rPr>
                <w:rStyle w:val="Refdecomentario"/>
                <w:rFonts w:asciiTheme="minorHAnsi" w:eastAsiaTheme="minorHAnsi" w:hAnsiTheme="minorHAnsi" w:cstheme="minorBidi"/>
                <w:lang w:val="en-US" w:eastAsia="en-US"/>
              </w:rPr>
              <w:commentReference w:id="45"/>
            </w:r>
            <w:r w:rsidRPr="006D4017">
              <w:rPr>
                <w:rFonts w:ascii="Arial" w:hAnsi="Arial" w:cs="Arial"/>
                <w:sz w:val="20"/>
                <w:szCs w:val="20"/>
                <w:lang w:val="en-GB"/>
              </w:rPr>
              <w:t>)</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commentRangeStart w:id="46"/>
            <w:r w:rsidRPr="0088744A">
              <w:rPr>
                <w:rFonts w:ascii="Arial" w:hAnsi="Arial" w:cs="Arial"/>
                <w:sz w:val="20"/>
                <w:szCs w:val="20"/>
              </w:rPr>
              <w:t>MAP</w:t>
            </w:r>
            <w:commentRangeEnd w:id="46"/>
            <w:r w:rsidR="00B96569">
              <w:rPr>
                <w:rStyle w:val="Refdecomentario"/>
                <w:rFonts w:asciiTheme="minorHAnsi" w:eastAsiaTheme="minorHAnsi" w:hAnsiTheme="minorHAnsi" w:cstheme="minorBidi"/>
                <w:lang w:val="en-US" w:eastAsia="en-US"/>
              </w:rPr>
              <w:commentReference w:id="46"/>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54EB4AD3"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85391CE" w:rsidR="00F556BC" w:rsidRPr="0088744A" w:rsidRDefault="007D7252" w:rsidP="0083154C">
            <w:pPr>
              <w:rPr>
                <w:rFonts w:ascii="Arial" w:hAnsi="Arial" w:cs="Arial"/>
                <w:sz w:val="20"/>
                <w:szCs w:val="20"/>
              </w:rPr>
            </w:pPr>
            <w:r>
              <w:rPr>
                <w:rFonts w:ascii="Arial" w:hAnsi="Arial" w:cs="Arial"/>
                <w:sz w:val="20"/>
                <w:szCs w:val="20"/>
              </w:rPr>
              <w:t>12</w:t>
            </w:r>
          </w:p>
        </w:tc>
        <w:tc>
          <w:tcPr>
            <w:tcW w:w="1197" w:type="dxa"/>
            <w:tcBorders>
              <w:top w:val="nil"/>
              <w:left w:val="nil"/>
              <w:bottom w:val="nil"/>
              <w:right w:val="nil"/>
            </w:tcBorders>
            <w:shd w:val="clear" w:color="auto" w:fill="auto"/>
            <w:noWrap/>
            <w:vAlign w:val="bottom"/>
            <w:hideMark/>
          </w:tcPr>
          <w:p w14:paraId="48B31AC4" w14:textId="142AE943"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2DE3B7AE" w:rsidR="00F556BC" w:rsidRPr="0088744A" w:rsidRDefault="007D7252" w:rsidP="0083154C">
            <w:pPr>
              <w:rPr>
                <w:rFonts w:ascii="Arial" w:hAnsi="Arial" w:cs="Arial"/>
                <w:sz w:val="20"/>
                <w:szCs w:val="20"/>
              </w:rPr>
            </w:pPr>
            <w:r>
              <w:rPr>
                <w:rFonts w:ascii="Arial" w:hAnsi="Arial" w:cs="Arial"/>
                <w:sz w:val="20"/>
                <w:szCs w:val="20"/>
              </w:rPr>
              <w:t>13</w:t>
            </w:r>
          </w:p>
        </w:tc>
        <w:tc>
          <w:tcPr>
            <w:tcW w:w="1197" w:type="dxa"/>
            <w:tcBorders>
              <w:top w:val="nil"/>
              <w:left w:val="nil"/>
              <w:bottom w:val="nil"/>
              <w:right w:val="nil"/>
            </w:tcBorders>
            <w:shd w:val="clear" w:color="auto" w:fill="auto"/>
            <w:noWrap/>
            <w:vAlign w:val="bottom"/>
            <w:hideMark/>
          </w:tcPr>
          <w:p w14:paraId="12B9FA55" w14:textId="2E972D90"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6B04F1E6"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6A9F632C" w:rsidR="00F556BC" w:rsidRPr="0088744A" w:rsidRDefault="007D7252" w:rsidP="0083154C">
            <w:pPr>
              <w:rPr>
                <w:rFonts w:ascii="Arial" w:hAnsi="Arial" w:cs="Arial"/>
                <w:sz w:val="20"/>
                <w:szCs w:val="20"/>
              </w:rPr>
            </w:pPr>
            <w:r>
              <w:rPr>
                <w:rFonts w:ascii="Arial" w:hAnsi="Arial" w:cs="Arial"/>
                <w:sz w:val="20"/>
                <w:szCs w:val="20"/>
              </w:rPr>
              <w:t>10</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commentRangeStart w:id="47"/>
      <w:r>
        <w:t>Eight</w:t>
      </w:r>
      <w:r w:rsidR="00FF0FF2">
        <w:t xml:space="preserve"> facets were retained </w:t>
      </w:r>
      <w:commentRangeEnd w:id="47"/>
      <w:r w:rsidR="00FE6153">
        <w:rPr>
          <w:rStyle w:val="Refdecomentario"/>
          <w:rFonts w:asciiTheme="minorHAnsi" w:hAnsiTheme="minorHAnsi"/>
        </w:rPr>
        <w:commentReference w:id="47"/>
      </w:r>
      <w:r w:rsidR="00FF0FF2">
        <w:t xml:space="preserve">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48"/>
      <w:r w:rsidR="00F556BC">
        <w:rPr>
          <w:i/>
        </w:rPr>
        <w:t>Appreciation</w:t>
      </w:r>
      <w:commentRangeEnd w:id="48"/>
      <w:r w:rsidR="00DA7AD1">
        <w:rPr>
          <w:rStyle w:val="Refdecomentario"/>
          <w:rFonts w:asciiTheme="minorHAnsi" w:hAnsiTheme="minorHAnsi"/>
        </w:rPr>
        <w:commentReference w:id="48"/>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lastRenderedPageBreak/>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AE4339A"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the EFA solution and represents a core </w:t>
      </w:r>
      <w:proofErr w:type="spellStart"/>
      <w:r w:rsidR="00E26566">
        <w:t>contruct</w:t>
      </w:r>
      <w:proofErr w:type="spellEnd"/>
      <w:r w:rsidR="00E26566">
        <w:t xml:space="preserve">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487D004F"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w:t>
      </w:r>
      <w:proofErr w:type="gramStart"/>
      <w:r>
        <w:t>from  0.86</w:t>
      </w:r>
      <w:proofErr w:type="gramEnd"/>
      <w:r>
        <w:t xml:space="preserve"> to 0.88, Openness</w:t>
      </w:r>
      <m:oMath>
        <m:r>
          <w:rPr>
            <w:rFonts w:ascii="Cambria Math" w:hAnsi="Cambria Math"/>
          </w:rPr>
          <m:t xml:space="preserve"> </m:t>
        </m:r>
      </m:oMath>
      <w:r>
        <w:t xml:space="preserve">ranged from </w:t>
      </w:r>
      <w:r>
        <w:lastRenderedPageBreak/>
        <w:t>0.91 to 0.92, Emotional Stability ranged from 0.89 to 0.91, Extraversion  ranged from 0.88 to 0.90.</w:t>
      </w:r>
    </w:p>
    <w:p w14:paraId="624F7411" w14:textId="12B16B88" w:rsidR="00FF0FF2" w:rsidRDefault="00F556BC" w:rsidP="00456E3A">
      <w:pPr>
        <w:pStyle w:val="Ttulo3"/>
      </w:pPr>
      <w:r>
        <w:t>CFA</w:t>
      </w:r>
    </w:p>
    <w:p w14:paraId="1C7A3B44" w14:textId="5ECA9274"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saturated </w:t>
      </w:r>
      <w:r w:rsidR="00AA2BDB">
        <w:t xml:space="preserve">(they were reflected by three indicators).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6FB9DD1C" w:rsidR="00456E3A" w:rsidRDefault="004F5F8A" w:rsidP="00624FA1">
      <w:pPr>
        <w:pStyle w:val="Maintext"/>
      </w:pPr>
      <w:r>
        <w:t xml:space="preserve">The final ESEM model was constructed after removing four facets that </w:t>
      </w:r>
      <w:r w:rsidR="00FA062C">
        <w:t xml:space="preserve">did not significantly load in their intended domain: </w:t>
      </w:r>
      <w:r w:rsidR="00FA062C" w:rsidRPr="00FA062C">
        <w:rPr>
          <w:i/>
          <w:iCs/>
        </w:rPr>
        <w:t>openness to feelings</w:t>
      </w:r>
      <w:r w:rsidR="00FA062C">
        <w:t xml:space="preserve"> (expected to load on openness), </w:t>
      </w:r>
      <w:commentRangeStart w:id="49"/>
      <w:proofErr w:type="spellStart"/>
      <w:r w:rsidR="00FA062C" w:rsidRPr="00FA062C">
        <w:rPr>
          <w:i/>
          <w:iCs/>
        </w:rPr>
        <w:t>crybabiness</w:t>
      </w:r>
      <w:proofErr w:type="spellEnd"/>
      <w:r w:rsidR="00FA062C">
        <w:t xml:space="preserve"> </w:t>
      </w:r>
      <w:commentRangeEnd w:id="49"/>
      <w:r w:rsidR="00241EE9">
        <w:rPr>
          <w:rStyle w:val="Refdecomentario"/>
          <w:rFonts w:asciiTheme="minorHAnsi" w:hAnsiTheme="minorHAnsi"/>
        </w:rPr>
        <w:commentReference w:id="49"/>
      </w:r>
      <w:r w:rsidR="00FA062C">
        <w:t xml:space="preserve">and </w:t>
      </w:r>
      <w:r w:rsidR="00FA062C" w:rsidRPr="00FA062C">
        <w:rPr>
          <w:i/>
          <w:iCs/>
        </w:rPr>
        <w:t xml:space="preserve">need to be liked </w:t>
      </w:r>
      <w:r w:rsidR="00FA062C">
        <w:t xml:space="preserve">(expected to load on </w:t>
      </w:r>
      <w:proofErr w:type="spellStart"/>
      <w:r w:rsidR="00FA062C">
        <w:t>agreebleness</w:t>
      </w:r>
      <w:proofErr w:type="spellEnd"/>
      <w:r w:rsidR="00FA062C">
        <w:t xml:space="preserve">), and </w:t>
      </w:r>
      <w:r w:rsidR="00FA062C" w:rsidRPr="00FA062C">
        <w:rPr>
          <w:i/>
          <w:iCs/>
        </w:rPr>
        <w:t>sensation seeking</w:t>
      </w:r>
      <w:r w:rsidR="00FA062C">
        <w:t xml:space="preserve"> (expected to load on extraversion). </w:t>
      </w:r>
      <w:r w:rsidR="00F556BC">
        <w:t xml:space="preserve">The </w:t>
      </w:r>
      <w:r w:rsidR="00FA062C">
        <w:t xml:space="preserve">resulting </w:t>
      </w:r>
      <w:r w:rsidR="00F556BC">
        <w:t xml:space="preserve">ESEM </w:t>
      </w:r>
      <w:r w:rsidR="00FA062C">
        <w:t>comprised 37 facets, all of them with significant loadings in their intended domains, and some exhibiting cross-loadings to other domains. This model yielded an acceptable model fit</w:t>
      </w:r>
      <w:r w:rsidR="00126B4A">
        <w:t xml:space="preserve">, </w:t>
      </w:r>
      <w:r w:rsidR="00504D82">
        <w:t>according to</w:t>
      </w:r>
      <w:r w:rsidR="00126B4A">
        <w:t xml:space="preserve"> </w:t>
      </w:r>
      <w:r w:rsidR="00F556BC">
        <w:t xml:space="preserve">Marsh et al. </w:t>
      </w:r>
      <w:r w:rsidR="00126B4A">
        <w:t>(</w:t>
      </w:r>
      <w:r w:rsidR="00F556BC">
        <w:t>2010)</w:t>
      </w:r>
      <w:r w:rsidR="00504D82">
        <w:t xml:space="preserve"> (</w:t>
      </w:r>
      <w:r w:rsidR="00F556BC">
        <w:t>CFI = .87, RMSEA = .072, SRMR = .036</w:t>
      </w:r>
      <w:r w:rsidR="00504D82">
        <w:t>)</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p>
    <w:p w14:paraId="7AE2C472" w14:textId="68526745" w:rsidR="003537DF" w:rsidRDefault="003537DF" w:rsidP="00624FA1">
      <w:pPr>
        <w:pStyle w:val="Maintext"/>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7777777"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77777777"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7777777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77777777"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77777777"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77777777"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777777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proofErr w:type="spellStart"/>
            <w:r w:rsidRPr="00072410">
              <w:rPr>
                <w:color w:val="000000"/>
              </w:rPr>
              <w:t>Energy</w:t>
            </w:r>
            <w:proofErr w:type="spellEnd"/>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77777777"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commentRangeStart w:id="50"/>
            <w:r w:rsidRPr="00807E1F">
              <w:rPr>
                <w:color w:val="000000"/>
              </w:rPr>
              <w:t>0.62</w:t>
            </w:r>
            <w:commentRangeEnd w:id="50"/>
            <w:r>
              <w:rPr>
                <w:rStyle w:val="Refdecomentario"/>
                <w:rFonts w:asciiTheme="minorHAnsi" w:eastAsiaTheme="minorHAnsi" w:hAnsiTheme="minorHAnsi" w:cstheme="minorBidi"/>
                <w:lang w:val="en-US" w:eastAsia="en-US"/>
              </w:rPr>
              <w:commentReference w:id="50"/>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51" w:name="criterion-validity-evidence-1"/>
      <w:bookmarkEnd w:id="51"/>
      <w:r>
        <w:t>Nomological network</w:t>
      </w:r>
    </w:p>
    <w:p w14:paraId="55B79124" w14:textId="7808589E" w:rsidR="005B24FA" w:rsidRDefault="00241EE9" w:rsidP="00D96001">
      <w:pPr>
        <w:pStyle w:val="Maintext"/>
      </w:pPr>
      <w:r>
        <w:t xml:space="preserve">A nomological network with our proposed set of facets and three external criteria was built in order to collect evidence of criterion validity of our inventory. It was performed with zero-order correlations and linear models as described in the method section. </w:t>
      </w:r>
      <w:r w:rsidR="00456E3A">
        <w:t xml:space="preserve">Table 5 summarizes </w:t>
      </w:r>
      <w:r>
        <w:t>these findings</w:t>
      </w:r>
      <w:r w:rsidR="00456E3A">
        <w:t>.</w:t>
      </w:r>
      <w:r>
        <w:t xml:space="preserve"> The hypotheses outlined above were met according to the nomological network. H1 stated that neuroticism and extraversion will be the domains with bigger associations with SWL. Indeed, both domains showed the highest correlations and their models accounted for the most variance explained by the predictors. At the facet level, depression and positive attitude (both betas &gt; 0.5) predicted best the criterion. H2 stated that conscientiousness would predict GPA with a medium to small effect size and that openness would yield a mixed pattern of association at the facet level. Conscientiousness was, as predicted, the domain with higher associations </w:t>
      </w:r>
      <w:r w:rsidR="005B24FA">
        <w:t xml:space="preserve">on SWL, with a correlation of r = 0.26. Three openness facets significantly predicted </w:t>
      </w:r>
      <w:r w:rsidR="005B24FA">
        <w:lastRenderedPageBreak/>
        <w:t xml:space="preserve">the outcome, creativity inversely </w:t>
      </w:r>
      <w:proofErr w:type="gramStart"/>
      <w:r w:rsidR="005B24FA">
        <w:t>(</w:t>
      </w:r>
      <w:r>
        <w:t xml:space="preserve"> </w:t>
      </w:r>
      <w:r w:rsidR="005B24FA">
        <w:t>beta</w:t>
      </w:r>
      <w:proofErr w:type="gramEnd"/>
      <w:r w:rsidR="005B24FA">
        <w:t xml:space="preserve"> = -0.14), and interest in reading and intellect directly (b = 0.12 and 0.17). Thus</w:t>
      </w:r>
      <w:r w:rsidR="007D49F1">
        <w:t>,</w:t>
      </w:r>
      <w:r w:rsidR="005B24FA">
        <w:t xml:space="preserve"> our nomological network showed the expected properties regarding H2. H3 stated that conscientiousness would be the domain with highest associations with </w:t>
      </w:r>
      <w:proofErr w:type="spellStart"/>
      <w:r w:rsidR="005B24FA">
        <w:t>abseentism</w:t>
      </w:r>
      <w:proofErr w:type="spellEnd"/>
      <w:r w:rsidR="005B24FA">
        <w:t xml:space="preserve">, and that its facets related to volitional aspects would highlight this association. Indeed, conscientiousness was the domain with strongest associations (yielding an inverse relation with </w:t>
      </w:r>
      <w:proofErr w:type="spellStart"/>
      <w:r w:rsidR="005B24FA">
        <w:t>abseentism</w:t>
      </w:r>
      <w:proofErr w:type="spellEnd"/>
      <w:r w:rsidR="005B24FA">
        <w:t xml:space="preserve">, r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inverse predictors related significantly with the outcome. Furthermore, H3 stated that the relation of </w:t>
      </w:r>
      <w:proofErr w:type="spellStart"/>
      <w:r w:rsidR="005B24FA">
        <w:t>abseentism</w:t>
      </w:r>
      <w:proofErr w:type="spellEnd"/>
      <w:r w:rsidR="005B24FA">
        <w:t xml:space="preserve"> with other domains will be clearer at the facet level. In this line, we have found modest r2 estimates for the full models, but some facets like </w:t>
      </w:r>
      <w:proofErr w:type="spellStart"/>
      <w:r w:rsidR="005B24FA" w:rsidRPr="005B24FA">
        <w:rPr>
          <w:i/>
          <w:iCs/>
        </w:rPr>
        <w:t>lethargia</w:t>
      </w:r>
      <w:proofErr w:type="spellEnd"/>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5B24FA" w:rsidRPr="005B24FA">
        <w:rPr>
          <w:i/>
          <w:iCs/>
        </w:rPr>
        <w:t>manipulation</w:t>
      </w:r>
      <w:r w:rsidR="005B24FA">
        <w:t xml:space="preserve"> did predict the outcome significantly, thus confirming H3. </w:t>
      </w:r>
    </w:p>
    <w:p w14:paraId="2131983D" w14:textId="733C93D7" w:rsidR="00456E3A" w:rsidRPr="0012742B" w:rsidRDefault="00456E3A" w:rsidP="00D96001">
      <w:pPr>
        <w:pStyle w:val="Maintext"/>
      </w:pPr>
    </w:p>
    <w:tbl>
      <w:tblPr>
        <w:tblStyle w:val="Table"/>
        <w:tblpPr w:leftFromText="141" w:rightFromText="141" w:vertAnchor="text" w:horzAnchor="page" w:tblpX="1" w:tblpY="-1416"/>
        <w:tblW w:w="24611" w:type="dxa"/>
        <w:tblLook w:val="04A0" w:firstRow="1" w:lastRow="0" w:firstColumn="1" w:lastColumn="0" w:noHBand="0" w:noVBand="1"/>
      </w:tblPr>
      <w:tblGrid>
        <w:gridCol w:w="13206"/>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Pr="00DA7AD1" w:rsidRDefault="00456E3A" w:rsidP="00456E3A">
            <w:pPr>
              <w:rPr>
                <w:lang w:val="en-US"/>
              </w:rPr>
            </w:pPr>
          </w:p>
          <w:p w14:paraId="7EBC9061" w14:textId="77777777" w:rsidR="00456E3A" w:rsidRPr="00DA7AD1" w:rsidRDefault="00456E3A" w:rsidP="00456E3A">
            <w:pPr>
              <w:rPr>
                <w:lang w:val="en-US"/>
              </w:rPr>
            </w:pPr>
          </w:p>
          <w:p w14:paraId="22FBE714" w14:textId="77777777" w:rsidR="00456E3A" w:rsidRPr="00DA7AD1" w:rsidRDefault="00456E3A" w:rsidP="00456E3A">
            <w:pPr>
              <w:rPr>
                <w:lang w:val="en-US"/>
              </w:rPr>
            </w:pPr>
          </w:p>
          <w:p w14:paraId="34DCBE43" w14:textId="77777777" w:rsidR="00456E3A" w:rsidRPr="00DA7AD1" w:rsidRDefault="00456E3A" w:rsidP="00456E3A">
            <w:pPr>
              <w:rPr>
                <w:lang w:val="en-US"/>
              </w:rPr>
            </w:pPr>
          </w:p>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284"/>
              <w:gridCol w:w="1352"/>
              <w:gridCol w:w="1511"/>
              <w:gridCol w:w="1229"/>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634B0A">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634B0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634B0A">
                  <w:pPr>
                    <w:framePr w:hSpace="141" w:wrap="around" w:vAnchor="text" w:hAnchor="page" w:x="1" w:y="-1416"/>
                    <w:jc w:val="center"/>
                    <w:rPr>
                      <w:rFonts w:ascii="Calibri" w:hAnsi="Calibri" w:cs="Calibri"/>
                      <w:color w:val="000000"/>
                      <w:sz w:val="22"/>
                      <w:szCs w:val="22"/>
                      <w:lang w:val="nl-BE" w:eastAsia="nl-BE"/>
                    </w:rPr>
                  </w:pPr>
                  <w:commentRangeStart w:id="52"/>
                  <w:commentRangeStart w:id="53"/>
                  <w:r>
                    <w:rPr>
                      <w:rFonts w:ascii="Calibri" w:hAnsi="Calibri" w:cs="Calibri"/>
                      <w:color w:val="000000"/>
                      <w:sz w:val="22"/>
                      <w:szCs w:val="22"/>
                      <w:lang w:val="nl-BE" w:eastAsia="nl-BE"/>
                    </w:rPr>
                    <w:t>GPA</w:t>
                  </w:r>
                  <w:commentRangeEnd w:id="52"/>
                  <w:r>
                    <w:rPr>
                      <w:rStyle w:val="Refdecomentario"/>
                      <w:rFonts w:asciiTheme="minorHAnsi" w:eastAsiaTheme="minorHAnsi" w:hAnsiTheme="minorHAnsi" w:cstheme="minorBidi"/>
                      <w:lang w:val="en-US" w:eastAsia="en-US"/>
                    </w:rPr>
                    <w:commentReference w:id="52"/>
                  </w:r>
                  <w:commentRangeEnd w:id="53"/>
                  <w:r w:rsidR="00E26566">
                    <w:rPr>
                      <w:rStyle w:val="Refdecomentario"/>
                      <w:rFonts w:asciiTheme="minorHAnsi" w:eastAsiaTheme="minorHAnsi" w:hAnsiTheme="minorHAnsi" w:cstheme="minorBidi"/>
                      <w:lang w:val="en-US" w:eastAsia="en-US"/>
                    </w:rPr>
                    <w:commentReference w:id="53"/>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634B0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634B0A">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072410" w:rsidP="00634B0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072410" w:rsidP="00634B0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072410" w:rsidP="00634B0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39BD410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w:t>
                  </w:r>
                </w:p>
              </w:tc>
              <w:tc>
                <w:tcPr>
                  <w:tcW w:w="1503" w:type="dxa"/>
                  <w:tcBorders>
                    <w:top w:val="nil"/>
                    <w:left w:val="nil"/>
                    <w:bottom w:val="nil"/>
                    <w:right w:val="nil"/>
                  </w:tcBorders>
                  <w:shd w:val="clear" w:color="auto" w:fill="auto"/>
                  <w:noWrap/>
                  <w:vAlign w:val="bottom"/>
                  <w:hideMark/>
                </w:tcPr>
                <w:p w14:paraId="4551073B" w14:textId="0194A46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4A5D66B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35A61F43" w14:textId="4BA1059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0BECC34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w:t>
                  </w:r>
                </w:p>
              </w:tc>
              <w:tc>
                <w:tcPr>
                  <w:tcW w:w="1503" w:type="dxa"/>
                  <w:tcBorders>
                    <w:top w:val="nil"/>
                    <w:left w:val="nil"/>
                    <w:bottom w:val="nil"/>
                    <w:right w:val="nil"/>
                  </w:tcBorders>
                  <w:shd w:val="clear" w:color="auto" w:fill="auto"/>
                  <w:noWrap/>
                  <w:vAlign w:val="bottom"/>
                  <w:hideMark/>
                </w:tcPr>
                <w:p w14:paraId="4D3A7141" w14:textId="143A5E7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C3B2B8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w:t>
                  </w:r>
                </w:p>
              </w:tc>
              <w:tc>
                <w:tcPr>
                  <w:tcW w:w="1511" w:type="dxa"/>
                  <w:tcBorders>
                    <w:top w:val="nil"/>
                    <w:left w:val="nil"/>
                    <w:bottom w:val="nil"/>
                    <w:right w:val="nil"/>
                  </w:tcBorders>
                  <w:shd w:val="clear" w:color="auto" w:fill="auto"/>
                  <w:noWrap/>
                  <w:vAlign w:val="bottom"/>
                  <w:hideMark/>
                </w:tcPr>
                <w:p w14:paraId="3BDA0A24" w14:textId="7B609F8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3A5D57A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w:t>
                  </w:r>
                </w:p>
              </w:tc>
              <w:tc>
                <w:tcPr>
                  <w:tcW w:w="1503" w:type="dxa"/>
                  <w:tcBorders>
                    <w:top w:val="nil"/>
                    <w:left w:val="nil"/>
                    <w:bottom w:val="nil"/>
                    <w:right w:val="nil"/>
                  </w:tcBorders>
                  <w:shd w:val="clear" w:color="auto" w:fill="auto"/>
                  <w:noWrap/>
                  <w:vAlign w:val="bottom"/>
                  <w:hideMark/>
                </w:tcPr>
                <w:p w14:paraId="3D856479" w14:textId="0FF28BC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05012C0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w:t>
                  </w:r>
                </w:p>
              </w:tc>
              <w:tc>
                <w:tcPr>
                  <w:tcW w:w="1511" w:type="dxa"/>
                  <w:tcBorders>
                    <w:top w:val="nil"/>
                    <w:left w:val="nil"/>
                    <w:bottom w:val="nil"/>
                    <w:right w:val="nil"/>
                  </w:tcBorders>
                  <w:shd w:val="clear" w:color="auto" w:fill="auto"/>
                  <w:noWrap/>
                  <w:vAlign w:val="bottom"/>
                  <w:hideMark/>
                </w:tcPr>
                <w:p w14:paraId="6586E9B1" w14:textId="44D54C9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270CAD8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w:t>
                  </w:r>
                </w:p>
              </w:tc>
              <w:tc>
                <w:tcPr>
                  <w:tcW w:w="1503" w:type="dxa"/>
                  <w:tcBorders>
                    <w:top w:val="nil"/>
                    <w:left w:val="nil"/>
                    <w:bottom w:val="nil"/>
                    <w:right w:val="nil"/>
                  </w:tcBorders>
                  <w:shd w:val="clear" w:color="auto" w:fill="auto"/>
                  <w:noWrap/>
                  <w:vAlign w:val="bottom"/>
                  <w:hideMark/>
                </w:tcPr>
                <w:p w14:paraId="3A34A6CA" w14:textId="66E95ED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1903416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w:t>
                  </w:r>
                </w:p>
              </w:tc>
              <w:tc>
                <w:tcPr>
                  <w:tcW w:w="1511" w:type="dxa"/>
                  <w:tcBorders>
                    <w:top w:val="nil"/>
                    <w:left w:val="nil"/>
                    <w:bottom w:val="nil"/>
                    <w:right w:val="nil"/>
                  </w:tcBorders>
                  <w:shd w:val="clear" w:color="auto" w:fill="auto"/>
                  <w:noWrap/>
                  <w:vAlign w:val="bottom"/>
                  <w:hideMark/>
                </w:tcPr>
                <w:p w14:paraId="416B4A16" w14:textId="45E9415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2C6A62B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03" w:type="dxa"/>
                  <w:tcBorders>
                    <w:top w:val="nil"/>
                    <w:left w:val="nil"/>
                    <w:bottom w:val="nil"/>
                    <w:right w:val="nil"/>
                  </w:tcBorders>
                  <w:shd w:val="clear" w:color="auto" w:fill="auto"/>
                  <w:noWrap/>
                  <w:vAlign w:val="bottom"/>
                  <w:hideMark/>
                </w:tcPr>
                <w:p w14:paraId="1DD20EBB" w14:textId="7825F98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8E350B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w:t>
                  </w:r>
                  <w:r w:rsidR="00C377B4">
                    <w:rPr>
                      <w:rFonts w:ascii="Calibri" w:hAnsi="Calibri" w:cs="Calibri"/>
                      <w:color w:val="000000"/>
                      <w:sz w:val="22"/>
                      <w:szCs w:val="22"/>
                      <w:lang w:val="nl-BE" w:eastAsia="nl-BE"/>
                    </w:rPr>
                    <w:t>01</w:t>
                  </w:r>
                </w:p>
              </w:tc>
              <w:tc>
                <w:tcPr>
                  <w:tcW w:w="1511" w:type="dxa"/>
                  <w:tcBorders>
                    <w:top w:val="nil"/>
                    <w:left w:val="nil"/>
                    <w:bottom w:val="nil"/>
                    <w:right w:val="nil"/>
                  </w:tcBorders>
                  <w:shd w:val="clear" w:color="auto" w:fill="auto"/>
                  <w:noWrap/>
                  <w:vAlign w:val="bottom"/>
                  <w:hideMark/>
                </w:tcPr>
                <w:p w14:paraId="60C29C8C" w14:textId="207D38D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08591F2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w:t>
                  </w:r>
                </w:p>
              </w:tc>
              <w:tc>
                <w:tcPr>
                  <w:tcW w:w="1503" w:type="dxa"/>
                  <w:tcBorders>
                    <w:top w:val="nil"/>
                    <w:left w:val="nil"/>
                    <w:bottom w:val="nil"/>
                    <w:right w:val="nil"/>
                  </w:tcBorders>
                  <w:shd w:val="clear" w:color="auto" w:fill="auto"/>
                  <w:noWrap/>
                  <w:vAlign w:val="bottom"/>
                  <w:hideMark/>
                </w:tcPr>
                <w:p w14:paraId="721F31E6" w14:textId="63E35DC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439D21D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57E03068" w14:textId="7EFA88D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5E0D08D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w:t>
                  </w:r>
                </w:p>
              </w:tc>
              <w:tc>
                <w:tcPr>
                  <w:tcW w:w="1503" w:type="dxa"/>
                  <w:tcBorders>
                    <w:top w:val="nil"/>
                    <w:left w:val="nil"/>
                    <w:bottom w:val="nil"/>
                    <w:right w:val="nil"/>
                  </w:tcBorders>
                  <w:shd w:val="clear" w:color="auto" w:fill="auto"/>
                  <w:noWrap/>
                  <w:vAlign w:val="bottom"/>
                  <w:hideMark/>
                </w:tcPr>
                <w:p w14:paraId="534FA187" w14:textId="2491871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E277A4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w:t>
                  </w:r>
                </w:p>
              </w:tc>
              <w:tc>
                <w:tcPr>
                  <w:tcW w:w="1511" w:type="dxa"/>
                  <w:tcBorders>
                    <w:top w:val="nil"/>
                    <w:left w:val="nil"/>
                    <w:bottom w:val="nil"/>
                    <w:right w:val="nil"/>
                  </w:tcBorders>
                  <w:shd w:val="clear" w:color="auto" w:fill="auto"/>
                  <w:noWrap/>
                  <w:vAlign w:val="bottom"/>
                  <w:hideMark/>
                </w:tcPr>
                <w:p w14:paraId="14E8B5F0" w14:textId="2789D0F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3519DD2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w:t>
                  </w:r>
                </w:p>
              </w:tc>
              <w:tc>
                <w:tcPr>
                  <w:tcW w:w="1503" w:type="dxa"/>
                  <w:tcBorders>
                    <w:top w:val="nil"/>
                    <w:left w:val="nil"/>
                    <w:bottom w:val="nil"/>
                    <w:right w:val="nil"/>
                  </w:tcBorders>
                  <w:shd w:val="clear" w:color="auto" w:fill="auto"/>
                  <w:noWrap/>
                  <w:vAlign w:val="bottom"/>
                  <w:hideMark/>
                </w:tcPr>
                <w:p w14:paraId="2321C5E1" w14:textId="7DF94BF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4B8B2C2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511" w:type="dxa"/>
                  <w:tcBorders>
                    <w:top w:val="nil"/>
                    <w:left w:val="nil"/>
                    <w:bottom w:val="nil"/>
                    <w:right w:val="nil"/>
                  </w:tcBorders>
                  <w:shd w:val="clear" w:color="auto" w:fill="auto"/>
                  <w:noWrap/>
                  <w:vAlign w:val="bottom"/>
                  <w:hideMark/>
                </w:tcPr>
                <w:p w14:paraId="0F05FF47" w14:textId="7A0F7AF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16D5E55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w:t>
                  </w:r>
                </w:p>
              </w:tc>
              <w:tc>
                <w:tcPr>
                  <w:tcW w:w="1503" w:type="dxa"/>
                  <w:tcBorders>
                    <w:top w:val="nil"/>
                    <w:left w:val="nil"/>
                    <w:bottom w:val="nil"/>
                    <w:right w:val="nil"/>
                  </w:tcBorders>
                  <w:shd w:val="clear" w:color="auto" w:fill="auto"/>
                  <w:noWrap/>
                  <w:vAlign w:val="bottom"/>
                  <w:hideMark/>
                </w:tcPr>
                <w:p w14:paraId="3E8EAB21" w14:textId="6B18460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352A4BF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w:t>
                  </w:r>
                </w:p>
              </w:tc>
              <w:tc>
                <w:tcPr>
                  <w:tcW w:w="1511" w:type="dxa"/>
                  <w:tcBorders>
                    <w:top w:val="nil"/>
                    <w:left w:val="nil"/>
                    <w:bottom w:val="nil"/>
                    <w:right w:val="nil"/>
                  </w:tcBorders>
                  <w:shd w:val="clear" w:color="auto" w:fill="auto"/>
                  <w:noWrap/>
                  <w:vAlign w:val="bottom"/>
                  <w:hideMark/>
                </w:tcPr>
                <w:p w14:paraId="3630819D" w14:textId="110EFF4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26CC2AD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6845740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32B0C3C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1EFE37D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4B81780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03" w:type="dxa"/>
                  <w:tcBorders>
                    <w:top w:val="nil"/>
                    <w:left w:val="nil"/>
                    <w:bottom w:val="nil"/>
                    <w:right w:val="nil"/>
                  </w:tcBorders>
                  <w:shd w:val="clear" w:color="auto" w:fill="auto"/>
                  <w:noWrap/>
                  <w:vAlign w:val="bottom"/>
                  <w:hideMark/>
                </w:tcPr>
                <w:p w14:paraId="460C864B" w14:textId="6EC4BC6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425397F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11" w:type="dxa"/>
                  <w:tcBorders>
                    <w:top w:val="nil"/>
                    <w:left w:val="nil"/>
                    <w:bottom w:val="nil"/>
                    <w:right w:val="nil"/>
                  </w:tcBorders>
                  <w:shd w:val="clear" w:color="auto" w:fill="auto"/>
                  <w:noWrap/>
                  <w:vAlign w:val="bottom"/>
                  <w:hideMark/>
                </w:tcPr>
                <w:p w14:paraId="2EA4FD78" w14:textId="3373895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40E5861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4B46E82C" w14:textId="0C7BAF7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1BF99D1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w:t>
                  </w:r>
                </w:p>
              </w:tc>
              <w:tc>
                <w:tcPr>
                  <w:tcW w:w="1511" w:type="dxa"/>
                  <w:tcBorders>
                    <w:top w:val="nil"/>
                    <w:left w:val="nil"/>
                    <w:bottom w:val="nil"/>
                    <w:right w:val="nil"/>
                  </w:tcBorders>
                  <w:shd w:val="clear" w:color="auto" w:fill="auto"/>
                  <w:noWrap/>
                  <w:vAlign w:val="bottom"/>
                  <w:hideMark/>
                </w:tcPr>
                <w:p w14:paraId="6B287F50" w14:textId="72681A0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405533D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49636C2C" w14:textId="69C23D3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520B9A2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w:t>
                  </w:r>
                </w:p>
              </w:tc>
              <w:tc>
                <w:tcPr>
                  <w:tcW w:w="1511" w:type="dxa"/>
                  <w:tcBorders>
                    <w:top w:val="nil"/>
                    <w:left w:val="nil"/>
                    <w:bottom w:val="nil"/>
                    <w:right w:val="nil"/>
                  </w:tcBorders>
                  <w:shd w:val="clear" w:color="auto" w:fill="auto"/>
                  <w:noWrap/>
                  <w:vAlign w:val="bottom"/>
                  <w:hideMark/>
                </w:tcPr>
                <w:p w14:paraId="4C9D3609" w14:textId="1EBA84F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1FB3582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03" w:type="dxa"/>
                  <w:tcBorders>
                    <w:top w:val="nil"/>
                    <w:left w:val="nil"/>
                    <w:bottom w:val="nil"/>
                    <w:right w:val="nil"/>
                  </w:tcBorders>
                  <w:shd w:val="clear" w:color="auto" w:fill="auto"/>
                  <w:noWrap/>
                  <w:vAlign w:val="bottom"/>
                  <w:hideMark/>
                </w:tcPr>
                <w:p w14:paraId="6D88E017" w14:textId="5BB39D6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222673A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w:t>
                  </w:r>
                </w:p>
              </w:tc>
              <w:tc>
                <w:tcPr>
                  <w:tcW w:w="1511" w:type="dxa"/>
                  <w:tcBorders>
                    <w:top w:val="nil"/>
                    <w:left w:val="nil"/>
                    <w:bottom w:val="nil"/>
                    <w:right w:val="nil"/>
                  </w:tcBorders>
                  <w:shd w:val="clear" w:color="auto" w:fill="auto"/>
                  <w:noWrap/>
                  <w:vAlign w:val="bottom"/>
                  <w:hideMark/>
                </w:tcPr>
                <w:p w14:paraId="564A9C84" w14:textId="748AA64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100D3B1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w:t>
                  </w:r>
                </w:p>
              </w:tc>
              <w:tc>
                <w:tcPr>
                  <w:tcW w:w="1503" w:type="dxa"/>
                  <w:tcBorders>
                    <w:top w:val="nil"/>
                    <w:left w:val="nil"/>
                    <w:bottom w:val="nil"/>
                    <w:right w:val="nil"/>
                  </w:tcBorders>
                  <w:shd w:val="clear" w:color="auto" w:fill="auto"/>
                  <w:noWrap/>
                  <w:vAlign w:val="bottom"/>
                  <w:hideMark/>
                </w:tcPr>
                <w:p w14:paraId="5F513A44" w14:textId="0F12BC9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r w:rsidR="00C377B4">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382EEC0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w:t>
                  </w:r>
                </w:p>
              </w:tc>
              <w:tc>
                <w:tcPr>
                  <w:tcW w:w="1511" w:type="dxa"/>
                  <w:tcBorders>
                    <w:top w:val="nil"/>
                    <w:left w:val="nil"/>
                    <w:bottom w:val="nil"/>
                    <w:right w:val="nil"/>
                  </w:tcBorders>
                  <w:shd w:val="clear" w:color="auto" w:fill="auto"/>
                  <w:noWrap/>
                  <w:vAlign w:val="bottom"/>
                  <w:hideMark/>
                </w:tcPr>
                <w:p w14:paraId="2093437E" w14:textId="061AE43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66A0D08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w:t>
                  </w:r>
                </w:p>
              </w:tc>
              <w:tc>
                <w:tcPr>
                  <w:tcW w:w="1503" w:type="dxa"/>
                  <w:tcBorders>
                    <w:top w:val="nil"/>
                    <w:left w:val="nil"/>
                    <w:bottom w:val="nil"/>
                    <w:right w:val="nil"/>
                  </w:tcBorders>
                  <w:shd w:val="clear" w:color="auto" w:fill="auto"/>
                  <w:noWrap/>
                  <w:vAlign w:val="bottom"/>
                  <w:hideMark/>
                </w:tcPr>
                <w:p w14:paraId="2FE454CD" w14:textId="7E49F2B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B21FB7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w:t>
                  </w:r>
                </w:p>
              </w:tc>
              <w:tc>
                <w:tcPr>
                  <w:tcW w:w="1511" w:type="dxa"/>
                  <w:tcBorders>
                    <w:top w:val="nil"/>
                    <w:left w:val="nil"/>
                    <w:bottom w:val="nil"/>
                    <w:right w:val="nil"/>
                  </w:tcBorders>
                  <w:shd w:val="clear" w:color="auto" w:fill="auto"/>
                  <w:noWrap/>
                  <w:vAlign w:val="bottom"/>
                  <w:hideMark/>
                </w:tcPr>
                <w:p w14:paraId="7BE46B10" w14:textId="50B2D33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426D79F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79B0A93E" w14:textId="10F7A07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61B9218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w:t>
                  </w:r>
                </w:p>
              </w:tc>
              <w:tc>
                <w:tcPr>
                  <w:tcW w:w="1511" w:type="dxa"/>
                  <w:tcBorders>
                    <w:top w:val="nil"/>
                    <w:left w:val="nil"/>
                    <w:bottom w:val="nil"/>
                    <w:right w:val="nil"/>
                  </w:tcBorders>
                  <w:shd w:val="clear" w:color="auto" w:fill="auto"/>
                  <w:noWrap/>
                  <w:vAlign w:val="bottom"/>
                  <w:hideMark/>
                </w:tcPr>
                <w:p w14:paraId="578D0BA5" w14:textId="775D199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0DA3C9D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0ABBAE97" w14:textId="793C92A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164735E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w:t>
                  </w:r>
                </w:p>
              </w:tc>
              <w:tc>
                <w:tcPr>
                  <w:tcW w:w="1511" w:type="dxa"/>
                  <w:tcBorders>
                    <w:top w:val="nil"/>
                    <w:left w:val="nil"/>
                    <w:bottom w:val="nil"/>
                    <w:right w:val="nil"/>
                  </w:tcBorders>
                  <w:shd w:val="clear" w:color="auto" w:fill="auto"/>
                  <w:noWrap/>
                  <w:vAlign w:val="bottom"/>
                  <w:hideMark/>
                </w:tcPr>
                <w:p w14:paraId="274E2E16" w14:textId="00F0667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5F843A7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52DB1816" w14:textId="799BC34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44EB587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w:t>
                  </w:r>
                </w:p>
              </w:tc>
              <w:tc>
                <w:tcPr>
                  <w:tcW w:w="1511" w:type="dxa"/>
                  <w:tcBorders>
                    <w:top w:val="nil"/>
                    <w:left w:val="nil"/>
                    <w:bottom w:val="nil"/>
                    <w:right w:val="nil"/>
                  </w:tcBorders>
                  <w:shd w:val="clear" w:color="auto" w:fill="auto"/>
                  <w:noWrap/>
                  <w:vAlign w:val="bottom"/>
                  <w:hideMark/>
                </w:tcPr>
                <w:p w14:paraId="5E9D38DA" w14:textId="2BFF283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67A040B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6FEB74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13AE025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494A27F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24CA75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w:t>
                  </w:r>
                </w:p>
              </w:tc>
              <w:tc>
                <w:tcPr>
                  <w:tcW w:w="1503" w:type="dxa"/>
                  <w:tcBorders>
                    <w:top w:val="nil"/>
                    <w:left w:val="nil"/>
                    <w:bottom w:val="nil"/>
                    <w:right w:val="nil"/>
                  </w:tcBorders>
                  <w:shd w:val="clear" w:color="auto" w:fill="auto"/>
                  <w:noWrap/>
                  <w:vAlign w:val="bottom"/>
                  <w:hideMark/>
                </w:tcPr>
                <w:p w14:paraId="6E4554FF" w14:textId="78E5881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159C51B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11" w:type="dxa"/>
                  <w:tcBorders>
                    <w:top w:val="nil"/>
                    <w:left w:val="nil"/>
                    <w:bottom w:val="nil"/>
                    <w:right w:val="nil"/>
                  </w:tcBorders>
                  <w:shd w:val="clear" w:color="auto" w:fill="auto"/>
                  <w:noWrap/>
                  <w:vAlign w:val="bottom"/>
                  <w:hideMark/>
                </w:tcPr>
                <w:p w14:paraId="3711E1A7" w14:textId="6F4D861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0609192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21AE353A" w14:textId="6338FE5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28F6D2D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w:t>
                  </w:r>
                </w:p>
              </w:tc>
              <w:tc>
                <w:tcPr>
                  <w:tcW w:w="1511" w:type="dxa"/>
                  <w:tcBorders>
                    <w:top w:val="nil"/>
                    <w:left w:val="nil"/>
                    <w:bottom w:val="nil"/>
                    <w:right w:val="nil"/>
                  </w:tcBorders>
                  <w:shd w:val="clear" w:color="auto" w:fill="auto"/>
                  <w:noWrap/>
                  <w:vAlign w:val="bottom"/>
                  <w:hideMark/>
                </w:tcPr>
                <w:p w14:paraId="761C2862" w14:textId="30C4923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26165BC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w:t>
                  </w:r>
                </w:p>
              </w:tc>
              <w:tc>
                <w:tcPr>
                  <w:tcW w:w="1503" w:type="dxa"/>
                  <w:tcBorders>
                    <w:top w:val="nil"/>
                    <w:left w:val="nil"/>
                    <w:bottom w:val="nil"/>
                    <w:right w:val="nil"/>
                  </w:tcBorders>
                  <w:shd w:val="clear" w:color="auto" w:fill="auto"/>
                  <w:noWrap/>
                  <w:vAlign w:val="bottom"/>
                  <w:hideMark/>
                </w:tcPr>
                <w:p w14:paraId="001CAC59" w14:textId="1C83311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200325E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448F576C" w14:textId="0595591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0F2A5C7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03" w:type="dxa"/>
                  <w:tcBorders>
                    <w:top w:val="nil"/>
                    <w:left w:val="nil"/>
                    <w:bottom w:val="nil"/>
                    <w:right w:val="nil"/>
                  </w:tcBorders>
                  <w:shd w:val="clear" w:color="auto" w:fill="auto"/>
                  <w:noWrap/>
                  <w:vAlign w:val="bottom"/>
                  <w:hideMark/>
                </w:tcPr>
                <w:p w14:paraId="51502D9E" w14:textId="700024F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33D2A1D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w:t>
                  </w:r>
                </w:p>
              </w:tc>
              <w:tc>
                <w:tcPr>
                  <w:tcW w:w="1511" w:type="dxa"/>
                  <w:tcBorders>
                    <w:top w:val="nil"/>
                    <w:left w:val="nil"/>
                    <w:bottom w:val="nil"/>
                    <w:right w:val="nil"/>
                  </w:tcBorders>
                  <w:shd w:val="clear" w:color="auto" w:fill="auto"/>
                  <w:noWrap/>
                  <w:vAlign w:val="bottom"/>
                  <w:hideMark/>
                </w:tcPr>
                <w:p w14:paraId="0F767169" w14:textId="0B453C5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27875DE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503" w:type="dxa"/>
                  <w:tcBorders>
                    <w:top w:val="nil"/>
                    <w:left w:val="nil"/>
                    <w:bottom w:val="nil"/>
                    <w:right w:val="nil"/>
                  </w:tcBorders>
                  <w:shd w:val="clear" w:color="auto" w:fill="auto"/>
                  <w:noWrap/>
                  <w:vAlign w:val="bottom"/>
                  <w:hideMark/>
                </w:tcPr>
                <w:p w14:paraId="57704D9C" w14:textId="5097D6A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32972CB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p>
              </w:tc>
              <w:tc>
                <w:tcPr>
                  <w:tcW w:w="1511" w:type="dxa"/>
                  <w:tcBorders>
                    <w:top w:val="nil"/>
                    <w:left w:val="nil"/>
                    <w:bottom w:val="nil"/>
                    <w:right w:val="nil"/>
                  </w:tcBorders>
                  <w:shd w:val="clear" w:color="auto" w:fill="auto"/>
                  <w:noWrap/>
                  <w:vAlign w:val="bottom"/>
                  <w:hideMark/>
                </w:tcPr>
                <w:p w14:paraId="171112CC" w14:textId="7868F52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672AB44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p>
              </w:tc>
              <w:tc>
                <w:tcPr>
                  <w:tcW w:w="1503" w:type="dxa"/>
                  <w:tcBorders>
                    <w:top w:val="nil"/>
                    <w:left w:val="nil"/>
                    <w:bottom w:val="nil"/>
                    <w:right w:val="nil"/>
                  </w:tcBorders>
                  <w:shd w:val="clear" w:color="auto" w:fill="auto"/>
                  <w:noWrap/>
                  <w:vAlign w:val="bottom"/>
                  <w:hideMark/>
                </w:tcPr>
                <w:p w14:paraId="1302892F" w14:textId="6C11945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6C9B352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w:t>
                  </w:r>
                </w:p>
              </w:tc>
              <w:tc>
                <w:tcPr>
                  <w:tcW w:w="1511" w:type="dxa"/>
                  <w:tcBorders>
                    <w:top w:val="nil"/>
                    <w:left w:val="nil"/>
                    <w:bottom w:val="nil"/>
                    <w:right w:val="nil"/>
                  </w:tcBorders>
                  <w:shd w:val="clear" w:color="auto" w:fill="auto"/>
                  <w:noWrap/>
                  <w:vAlign w:val="bottom"/>
                  <w:hideMark/>
                </w:tcPr>
                <w:p w14:paraId="0060C47C" w14:textId="0296F5A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6C53AAB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w:t>
                  </w:r>
                </w:p>
              </w:tc>
              <w:tc>
                <w:tcPr>
                  <w:tcW w:w="1503" w:type="dxa"/>
                  <w:tcBorders>
                    <w:top w:val="nil"/>
                    <w:left w:val="nil"/>
                    <w:bottom w:val="nil"/>
                    <w:right w:val="nil"/>
                  </w:tcBorders>
                  <w:shd w:val="clear" w:color="auto" w:fill="auto"/>
                  <w:noWrap/>
                  <w:vAlign w:val="bottom"/>
                  <w:hideMark/>
                </w:tcPr>
                <w:p w14:paraId="0E4DFF4D" w14:textId="79757E4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19522C3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w:t>
                  </w:r>
                </w:p>
              </w:tc>
              <w:tc>
                <w:tcPr>
                  <w:tcW w:w="1511" w:type="dxa"/>
                  <w:tcBorders>
                    <w:top w:val="nil"/>
                    <w:left w:val="nil"/>
                    <w:bottom w:val="nil"/>
                    <w:right w:val="nil"/>
                  </w:tcBorders>
                  <w:shd w:val="clear" w:color="auto" w:fill="auto"/>
                  <w:noWrap/>
                  <w:vAlign w:val="bottom"/>
                  <w:hideMark/>
                </w:tcPr>
                <w:p w14:paraId="771101F9" w14:textId="11762FC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60C9FA69"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w:t>
                  </w:r>
                </w:p>
              </w:tc>
              <w:tc>
                <w:tcPr>
                  <w:tcW w:w="1503" w:type="dxa"/>
                  <w:tcBorders>
                    <w:top w:val="nil"/>
                    <w:left w:val="nil"/>
                    <w:bottom w:val="nil"/>
                    <w:right w:val="nil"/>
                  </w:tcBorders>
                  <w:shd w:val="clear" w:color="auto" w:fill="auto"/>
                  <w:noWrap/>
                  <w:vAlign w:val="bottom"/>
                  <w:hideMark/>
                </w:tcPr>
                <w:p w14:paraId="7016469E" w14:textId="2B79BF7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00775CA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w:t>
                  </w:r>
                </w:p>
              </w:tc>
              <w:tc>
                <w:tcPr>
                  <w:tcW w:w="1511" w:type="dxa"/>
                  <w:tcBorders>
                    <w:top w:val="nil"/>
                    <w:left w:val="nil"/>
                    <w:bottom w:val="nil"/>
                    <w:right w:val="nil"/>
                  </w:tcBorders>
                  <w:shd w:val="clear" w:color="auto" w:fill="auto"/>
                  <w:noWrap/>
                  <w:vAlign w:val="bottom"/>
                  <w:hideMark/>
                </w:tcPr>
                <w:p w14:paraId="0D592022" w14:textId="3B43C7C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3F9881C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w:t>
                  </w:r>
                </w:p>
              </w:tc>
              <w:tc>
                <w:tcPr>
                  <w:tcW w:w="1503" w:type="dxa"/>
                  <w:tcBorders>
                    <w:top w:val="nil"/>
                    <w:left w:val="nil"/>
                    <w:bottom w:val="nil"/>
                    <w:right w:val="nil"/>
                  </w:tcBorders>
                  <w:shd w:val="clear" w:color="auto" w:fill="auto"/>
                  <w:noWrap/>
                  <w:vAlign w:val="bottom"/>
                  <w:hideMark/>
                </w:tcPr>
                <w:p w14:paraId="21B1E941" w14:textId="05D4FDB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E2A334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w:t>
                  </w:r>
                </w:p>
              </w:tc>
              <w:tc>
                <w:tcPr>
                  <w:tcW w:w="1511" w:type="dxa"/>
                  <w:tcBorders>
                    <w:top w:val="nil"/>
                    <w:left w:val="nil"/>
                    <w:bottom w:val="nil"/>
                    <w:right w:val="nil"/>
                  </w:tcBorders>
                  <w:shd w:val="clear" w:color="auto" w:fill="auto"/>
                  <w:noWrap/>
                  <w:vAlign w:val="bottom"/>
                  <w:hideMark/>
                </w:tcPr>
                <w:p w14:paraId="04F191ED" w14:textId="3254EEB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58B6D3B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631ABEC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0ADF4E5C" w14:textId="33FD347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F55F9B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8B2D3B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w:t>
                  </w:r>
                </w:p>
              </w:tc>
              <w:tc>
                <w:tcPr>
                  <w:tcW w:w="1503" w:type="dxa"/>
                  <w:tcBorders>
                    <w:top w:val="nil"/>
                    <w:left w:val="nil"/>
                    <w:bottom w:val="nil"/>
                    <w:right w:val="nil"/>
                  </w:tcBorders>
                  <w:shd w:val="clear" w:color="auto" w:fill="auto"/>
                  <w:noWrap/>
                  <w:vAlign w:val="bottom"/>
                  <w:hideMark/>
                </w:tcPr>
                <w:p w14:paraId="30D473BE" w14:textId="4D6A65E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13D33F6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w:t>
                  </w:r>
                </w:p>
              </w:tc>
              <w:tc>
                <w:tcPr>
                  <w:tcW w:w="1511" w:type="dxa"/>
                  <w:tcBorders>
                    <w:top w:val="nil"/>
                    <w:left w:val="nil"/>
                    <w:bottom w:val="nil"/>
                    <w:right w:val="nil"/>
                  </w:tcBorders>
                  <w:shd w:val="clear" w:color="auto" w:fill="auto"/>
                  <w:noWrap/>
                  <w:vAlign w:val="bottom"/>
                  <w:hideMark/>
                </w:tcPr>
                <w:p w14:paraId="224BBD77" w14:textId="205A575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F7179C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1B315130" w14:textId="5715BC9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2A3441C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11" w:type="dxa"/>
                  <w:tcBorders>
                    <w:top w:val="nil"/>
                    <w:left w:val="nil"/>
                    <w:bottom w:val="nil"/>
                    <w:right w:val="nil"/>
                  </w:tcBorders>
                  <w:shd w:val="clear" w:color="auto" w:fill="auto"/>
                  <w:noWrap/>
                  <w:vAlign w:val="bottom"/>
                  <w:hideMark/>
                </w:tcPr>
                <w:p w14:paraId="33F1D514" w14:textId="44D4BD4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3F5AE22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w:t>
                  </w:r>
                </w:p>
              </w:tc>
              <w:tc>
                <w:tcPr>
                  <w:tcW w:w="1503" w:type="dxa"/>
                  <w:tcBorders>
                    <w:top w:val="nil"/>
                    <w:left w:val="nil"/>
                    <w:bottom w:val="nil"/>
                    <w:right w:val="nil"/>
                  </w:tcBorders>
                  <w:shd w:val="clear" w:color="auto" w:fill="auto"/>
                  <w:noWrap/>
                  <w:vAlign w:val="bottom"/>
                  <w:hideMark/>
                </w:tcPr>
                <w:p w14:paraId="6A6E80F2" w14:textId="77F1547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46BF59F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w:t>
                  </w:r>
                </w:p>
              </w:tc>
              <w:tc>
                <w:tcPr>
                  <w:tcW w:w="1511" w:type="dxa"/>
                  <w:tcBorders>
                    <w:top w:val="nil"/>
                    <w:left w:val="nil"/>
                    <w:bottom w:val="nil"/>
                    <w:right w:val="nil"/>
                  </w:tcBorders>
                  <w:shd w:val="clear" w:color="auto" w:fill="auto"/>
                  <w:noWrap/>
                  <w:vAlign w:val="bottom"/>
                  <w:hideMark/>
                </w:tcPr>
                <w:p w14:paraId="5D70CA5D" w14:textId="789D56F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1CA1BD1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w:t>
                  </w:r>
                </w:p>
              </w:tc>
              <w:tc>
                <w:tcPr>
                  <w:tcW w:w="1503" w:type="dxa"/>
                  <w:tcBorders>
                    <w:top w:val="nil"/>
                    <w:left w:val="nil"/>
                    <w:bottom w:val="nil"/>
                    <w:right w:val="nil"/>
                  </w:tcBorders>
                  <w:shd w:val="clear" w:color="auto" w:fill="auto"/>
                  <w:noWrap/>
                  <w:vAlign w:val="bottom"/>
                  <w:hideMark/>
                </w:tcPr>
                <w:p w14:paraId="20A05DD8" w14:textId="0041F7A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35EAC14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0861F28F" w14:textId="0527279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03DF0E0B"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c>
                <w:tcPr>
                  <w:tcW w:w="1503" w:type="dxa"/>
                  <w:tcBorders>
                    <w:top w:val="nil"/>
                    <w:left w:val="nil"/>
                    <w:bottom w:val="nil"/>
                    <w:right w:val="nil"/>
                  </w:tcBorders>
                  <w:shd w:val="clear" w:color="auto" w:fill="auto"/>
                  <w:noWrap/>
                  <w:vAlign w:val="bottom"/>
                  <w:hideMark/>
                </w:tcPr>
                <w:p w14:paraId="60C75AAE" w14:textId="7908B01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r w:rsidR="00C377B4">
                    <w:rPr>
                      <w:rFonts w:ascii="Calibri" w:hAnsi="Calibri" w:cs="Calibri"/>
                      <w:color w:val="000000"/>
                      <w:sz w:val="22"/>
                      <w:szCs w:val="22"/>
                      <w:lang w:val="nl-BE" w:eastAsia="nl-BE"/>
                    </w:rPr>
                    <w:t>7</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0A05A04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511" w:type="dxa"/>
                  <w:tcBorders>
                    <w:top w:val="nil"/>
                    <w:left w:val="nil"/>
                    <w:bottom w:val="nil"/>
                    <w:right w:val="nil"/>
                  </w:tcBorders>
                  <w:shd w:val="clear" w:color="auto" w:fill="auto"/>
                  <w:noWrap/>
                  <w:vAlign w:val="bottom"/>
                  <w:hideMark/>
                </w:tcPr>
                <w:p w14:paraId="601BB7F4" w14:textId="5765B6E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1F2A7FC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2DE56653" w14:textId="09B3A8B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14E1A0D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11" w:type="dxa"/>
                  <w:tcBorders>
                    <w:top w:val="nil"/>
                    <w:left w:val="nil"/>
                    <w:bottom w:val="nil"/>
                    <w:right w:val="nil"/>
                  </w:tcBorders>
                  <w:shd w:val="clear" w:color="auto" w:fill="auto"/>
                  <w:noWrap/>
                  <w:vAlign w:val="bottom"/>
                  <w:hideMark/>
                </w:tcPr>
                <w:p w14:paraId="0CD32264" w14:textId="74267F5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3C75EA70"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w:t>
                  </w:r>
                </w:p>
              </w:tc>
              <w:tc>
                <w:tcPr>
                  <w:tcW w:w="1503" w:type="dxa"/>
                  <w:tcBorders>
                    <w:top w:val="nil"/>
                    <w:left w:val="nil"/>
                    <w:bottom w:val="nil"/>
                    <w:right w:val="nil"/>
                  </w:tcBorders>
                  <w:shd w:val="clear" w:color="auto" w:fill="auto"/>
                  <w:noWrap/>
                  <w:vAlign w:val="bottom"/>
                  <w:hideMark/>
                </w:tcPr>
                <w:p w14:paraId="02601068" w14:textId="35E5C58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2EE395D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511" w:type="dxa"/>
                  <w:tcBorders>
                    <w:top w:val="nil"/>
                    <w:left w:val="nil"/>
                    <w:bottom w:val="nil"/>
                    <w:right w:val="nil"/>
                  </w:tcBorders>
                  <w:shd w:val="clear" w:color="auto" w:fill="auto"/>
                  <w:noWrap/>
                  <w:vAlign w:val="bottom"/>
                  <w:hideMark/>
                </w:tcPr>
                <w:p w14:paraId="283CD5A2" w14:textId="03F08BD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12AF940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w:t>
                  </w:r>
                </w:p>
              </w:tc>
              <w:tc>
                <w:tcPr>
                  <w:tcW w:w="1503" w:type="dxa"/>
                  <w:tcBorders>
                    <w:top w:val="nil"/>
                    <w:left w:val="nil"/>
                    <w:bottom w:val="nil"/>
                    <w:right w:val="nil"/>
                  </w:tcBorders>
                  <w:shd w:val="clear" w:color="auto" w:fill="auto"/>
                  <w:noWrap/>
                  <w:vAlign w:val="bottom"/>
                  <w:hideMark/>
                </w:tcPr>
                <w:p w14:paraId="01621C3B" w14:textId="4AD6C15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6BF94FF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w:t>
                  </w:r>
                </w:p>
              </w:tc>
              <w:tc>
                <w:tcPr>
                  <w:tcW w:w="1511" w:type="dxa"/>
                  <w:tcBorders>
                    <w:top w:val="nil"/>
                    <w:left w:val="nil"/>
                    <w:bottom w:val="nil"/>
                    <w:right w:val="nil"/>
                  </w:tcBorders>
                  <w:shd w:val="clear" w:color="auto" w:fill="auto"/>
                  <w:noWrap/>
                  <w:vAlign w:val="bottom"/>
                  <w:hideMark/>
                </w:tcPr>
                <w:p w14:paraId="6153C150" w14:textId="6CB4EBA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lastRenderedPageBreak/>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4CF3D2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29520EC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37C9BFFF" w14:textId="567DD3A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5337996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14155E9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w:t>
                  </w:r>
                </w:p>
              </w:tc>
              <w:tc>
                <w:tcPr>
                  <w:tcW w:w="1503" w:type="dxa"/>
                  <w:tcBorders>
                    <w:top w:val="nil"/>
                    <w:left w:val="nil"/>
                    <w:bottom w:val="nil"/>
                    <w:right w:val="nil"/>
                  </w:tcBorders>
                  <w:shd w:val="clear" w:color="auto" w:fill="auto"/>
                  <w:noWrap/>
                  <w:vAlign w:val="bottom"/>
                  <w:hideMark/>
                </w:tcPr>
                <w:p w14:paraId="1474D0BF" w14:textId="169CA9C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342CAF1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511" w:type="dxa"/>
                  <w:tcBorders>
                    <w:top w:val="nil"/>
                    <w:left w:val="nil"/>
                    <w:bottom w:val="nil"/>
                    <w:right w:val="nil"/>
                  </w:tcBorders>
                  <w:shd w:val="clear" w:color="auto" w:fill="auto"/>
                  <w:noWrap/>
                  <w:vAlign w:val="bottom"/>
                  <w:hideMark/>
                </w:tcPr>
                <w:p w14:paraId="0CFC7140" w14:textId="73C07EA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12DA843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503" w:type="dxa"/>
                  <w:tcBorders>
                    <w:top w:val="nil"/>
                    <w:left w:val="nil"/>
                    <w:bottom w:val="nil"/>
                    <w:right w:val="nil"/>
                  </w:tcBorders>
                  <w:shd w:val="clear" w:color="auto" w:fill="auto"/>
                  <w:noWrap/>
                  <w:vAlign w:val="bottom"/>
                  <w:hideMark/>
                </w:tcPr>
                <w:p w14:paraId="60C05649" w14:textId="3E4D521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3146CD65"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w:t>
                  </w:r>
                </w:p>
              </w:tc>
              <w:tc>
                <w:tcPr>
                  <w:tcW w:w="1511" w:type="dxa"/>
                  <w:tcBorders>
                    <w:top w:val="nil"/>
                    <w:left w:val="nil"/>
                    <w:bottom w:val="nil"/>
                    <w:right w:val="nil"/>
                  </w:tcBorders>
                  <w:shd w:val="clear" w:color="auto" w:fill="auto"/>
                  <w:noWrap/>
                  <w:vAlign w:val="bottom"/>
                  <w:hideMark/>
                </w:tcPr>
                <w:p w14:paraId="6D5400E9" w14:textId="08769154"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640F4F7A"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w:t>
                  </w:r>
                </w:p>
              </w:tc>
              <w:tc>
                <w:tcPr>
                  <w:tcW w:w="1503" w:type="dxa"/>
                  <w:tcBorders>
                    <w:top w:val="nil"/>
                    <w:left w:val="nil"/>
                    <w:bottom w:val="nil"/>
                    <w:right w:val="nil"/>
                  </w:tcBorders>
                  <w:shd w:val="clear" w:color="auto" w:fill="auto"/>
                  <w:noWrap/>
                  <w:vAlign w:val="bottom"/>
                  <w:hideMark/>
                </w:tcPr>
                <w:p w14:paraId="1FF70FB6" w14:textId="3752FD9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044257B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w:t>
                  </w:r>
                </w:p>
              </w:tc>
              <w:tc>
                <w:tcPr>
                  <w:tcW w:w="1511" w:type="dxa"/>
                  <w:tcBorders>
                    <w:top w:val="nil"/>
                    <w:left w:val="nil"/>
                    <w:bottom w:val="nil"/>
                    <w:right w:val="nil"/>
                  </w:tcBorders>
                  <w:shd w:val="clear" w:color="auto" w:fill="auto"/>
                  <w:noWrap/>
                  <w:vAlign w:val="bottom"/>
                  <w:hideMark/>
                </w:tcPr>
                <w:p w14:paraId="7548BA27" w14:textId="7F4E819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3A68F42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w:t>
                  </w:r>
                </w:p>
              </w:tc>
              <w:tc>
                <w:tcPr>
                  <w:tcW w:w="1503" w:type="dxa"/>
                  <w:tcBorders>
                    <w:top w:val="nil"/>
                    <w:left w:val="nil"/>
                    <w:bottom w:val="nil"/>
                    <w:right w:val="nil"/>
                  </w:tcBorders>
                  <w:shd w:val="clear" w:color="auto" w:fill="auto"/>
                  <w:noWrap/>
                  <w:vAlign w:val="bottom"/>
                  <w:hideMark/>
                </w:tcPr>
                <w:p w14:paraId="61E24117" w14:textId="05D8784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002BA78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3BCBE784" w14:textId="128661C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676C620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w:t>
                  </w:r>
                </w:p>
              </w:tc>
              <w:tc>
                <w:tcPr>
                  <w:tcW w:w="1503" w:type="dxa"/>
                  <w:tcBorders>
                    <w:top w:val="nil"/>
                    <w:left w:val="nil"/>
                    <w:bottom w:val="nil"/>
                    <w:right w:val="nil"/>
                  </w:tcBorders>
                  <w:shd w:val="clear" w:color="auto" w:fill="auto"/>
                  <w:noWrap/>
                  <w:vAlign w:val="bottom"/>
                  <w:hideMark/>
                </w:tcPr>
                <w:p w14:paraId="7C1F7FD1" w14:textId="5C8A37F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25C79C2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w:t>
                  </w:r>
                </w:p>
              </w:tc>
              <w:tc>
                <w:tcPr>
                  <w:tcW w:w="1511" w:type="dxa"/>
                  <w:tcBorders>
                    <w:top w:val="nil"/>
                    <w:left w:val="nil"/>
                    <w:bottom w:val="nil"/>
                    <w:right w:val="nil"/>
                  </w:tcBorders>
                  <w:shd w:val="clear" w:color="auto" w:fill="auto"/>
                  <w:noWrap/>
                  <w:vAlign w:val="bottom"/>
                  <w:hideMark/>
                </w:tcPr>
                <w:p w14:paraId="2811AFA4" w14:textId="0CDB70B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43F96DC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w:t>
                  </w:r>
                </w:p>
              </w:tc>
              <w:tc>
                <w:tcPr>
                  <w:tcW w:w="1503" w:type="dxa"/>
                  <w:tcBorders>
                    <w:top w:val="nil"/>
                    <w:left w:val="nil"/>
                    <w:bottom w:val="nil"/>
                    <w:right w:val="nil"/>
                  </w:tcBorders>
                  <w:shd w:val="clear" w:color="auto" w:fill="auto"/>
                  <w:noWrap/>
                  <w:vAlign w:val="bottom"/>
                  <w:hideMark/>
                </w:tcPr>
                <w:p w14:paraId="78C328B5" w14:textId="3D92F812"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5BF168E"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511" w:type="dxa"/>
                  <w:tcBorders>
                    <w:top w:val="nil"/>
                    <w:left w:val="nil"/>
                    <w:bottom w:val="nil"/>
                    <w:right w:val="nil"/>
                  </w:tcBorders>
                  <w:shd w:val="clear" w:color="auto" w:fill="auto"/>
                  <w:noWrap/>
                  <w:vAlign w:val="bottom"/>
                  <w:hideMark/>
                </w:tcPr>
                <w:p w14:paraId="45E21A9D" w14:textId="3B5F1CC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52F62158"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03" w:type="dxa"/>
                  <w:tcBorders>
                    <w:top w:val="nil"/>
                    <w:left w:val="nil"/>
                    <w:bottom w:val="nil"/>
                    <w:right w:val="nil"/>
                  </w:tcBorders>
                  <w:shd w:val="clear" w:color="auto" w:fill="auto"/>
                  <w:noWrap/>
                  <w:vAlign w:val="bottom"/>
                  <w:hideMark/>
                </w:tcPr>
                <w:p w14:paraId="560AFE0C" w14:textId="4A439A7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3ED13441"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69486471" w14:textId="275FBDDD"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476A1EEF"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634B0A">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3A2DF4C"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ACE8663"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3C6360E6" w:rsidR="00456E3A" w:rsidRPr="00B865DC" w:rsidRDefault="00456E3A" w:rsidP="00634B0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5E51AF61" w14:textId="106D8712" w:rsidR="00CD3468" w:rsidRDefault="00456E3A" w:rsidP="00C377B4">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bookmarkStart w:id="54" w:name="results-of-mi"/>
      <w:bookmarkEnd w:id="54"/>
    </w:p>
    <w:tbl>
      <w:tblPr>
        <w:tblW w:w="10606" w:type="dxa"/>
        <w:jc w:val="center"/>
        <w:tblCellMar>
          <w:left w:w="70" w:type="dxa"/>
          <w:right w:w="70" w:type="dxa"/>
        </w:tblCellMar>
        <w:tblLook w:val="04A0" w:firstRow="1" w:lastRow="0" w:firstColumn="1" w:lastColumn="0" w:noHBand="0" w:noVBand="1"/>
      </w:tblPr>
      <w:tblGrid>
        <w:gridCol w:w="3260"/>
        <w:gridCol w:w="993"/>
        <w:gridCol w:w="992"/>
        <w:gridCol w:w="709"/>
        <w:gridCol w:w="708"/>
        <w:gridCol w:w="851"/>
        <w:gridCol w:w="566"/>
        <w:gridCol w:w="850"/>
        <w:gridCol w:w="1111"/>
        <w:gridCol w:w="566"/>
      </w:tblGrid>
      <w:tr w:rsidR="00DA7AD1" w:rsidRPr="00DA7AD1" w14:paraId="1235C98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0D46953" w14:textId="77777777" w:rsidR="00DA7AD1" w:rsidRPr="00DA7AD1" w:rsidRDefault="00DA7AD1" w:rsidP="00DA7AD1">
            <w:pPr>
              <w:rPr>
                <w:lang w:val="en-US"/>
              </w:rPr>
            </w:pPr>
          </w:p>
        </w:tc>
        <w:tc>
          <w:tcPr>
            <w:tcW w:w="2694" w:type="dxa"/>
            <w:gridSpan w:val="3"/>
            <w:tcBorders>
              <w:top w:val="nil"/>
              <w:left w:val="nil"/>
              <w:bottom w:val="nil"/>
              <w:right w:val="nil"/>
            </w:tcBorders>
            <w:shd w:val="clear" w:color="auto" w:fill="auto"/>
            <w:noWrap/>
            <w:vAlign w:val="bottom"/>
            <w:hideMark/>
          </w:tcPr>
          <w:p w14:paraId="5FD95284"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SWL</w:t>
            </w:r>
          </w:p>
        </w:tc>
        <w:tc>
          <w:tcPr>
            <w:tcW w:w="2125" w:type="dxa"/>
            <w:gridSpan w:val="3"/>
            <w:tcBorders>
              <w:top w:val="nil"/>
              <w:left w:val="nil"/>
              <w:bottom w:val="nil"/>
              <w:right w:val="nil"/>
            </w:tcBorders>
            <w:shd w:val="clear" w:color="auto" w:fill="auto"/>
            <w:noWrap/>
            <w:vAlign w:val="bottom"/>
            <w:hideMark/>
          </w:tcPr>
          <w:p w14:paraId="2F3F8917"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GPA</w:t>
            </w:r>
          </w:p>
        </w:tc>
        <w:tc>
          <w:tcPr>
            <w:tcW w:w="2527" w:type="dxa"/>
            <w:gridSpan w:val="3"/>
            <w:tcBorders>
              <w:top w:val="nil"/>
              <w:left w:val="nil"/>
              <w:bottom w:val="nil"/>
              <w:right w:val="nil"/>
            </w:tcBorders>
            <w:shd w:val="clear" w:color="auto" w:fill="auto"/>
            <w:noWrap/>
            <w:vAlign w:val="bottom"/>
            <w:hideMark/>
          </w:tcPr>
          <w:p w14:paraId="337B09DA" w14:textId="77777777" w:rsidR="00DA7AD1" w:rsidRPr="00DA7AD1" w:rsidRDefault="00DA7AD1" w:rsidP="00DA7AD1">
            <w:pPr>
              <w:jc w:val="center"/>
              <w:rPr>
                <w:rFonts w:ascii="Calibri" w:hAnsi="Calibri" w:cs="Calibri"/>
                <w:color w:val="000000"/>
              </w:rPr>
            </w:pPr>
            <w:proofErr w:type="spellStart"/>
            <w:r w:rsidRPr="00DA7AD1">
              <w:rPr>
                <w:rFonts w:ascii="Calibri" w:hAnsi="Calibri" w:cs="Calibri"/>
                <w:color w:val="000000"/>
              </w:rPr>
              <w:t>Absences</w:t>
            </w:r>
            <w:proofErr w:type="spellEnd"/>
          </w:p>
        </w:tc>
      </w:tr>
      <w:tr w:rsidR="00D86847" w:rsidRPr="00DA7AD1" w14:paraId="4C1E78A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806DD9" w14:textId="77777777" w:rsidR="00DA7AD1" w:rsidRPr="00DA7AD1" w:rsidRDefault="00DA7AD1" w:rsidP="00DA7AD1">
            <w:pPr>
              <w:jc w:val="center"/>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14:paraId="3E02EDB5" w14:textId="570B05C1" w:rsidR="00DA7AD1" w:rsidRPr="00DA7AD1" w:rsidRDefault="00DA7AD1" w:rsidP="00DA7AD1">
            <w:pPr>
              <w:jc w:val="center"/>
              <w:rPr>
                <w:rFonts w:ascii="Calibri" w:hAnsi="Calibri" w:cs="Calibri"/>
                <w:i/>
                <w:iCs/>
                <w:color w:val="000000"/>
              </w:rPr>
            </w:pPr>
            <w:r w:rsidRPr="00DA7AD1">
              <w:rPr>
                <w:rFonts w:ascii="Calibri" w:hAnsi="Calibri" w:cs="Calibri"/>
                <w:i/>
                <w:iCs/>
                <w:color w:val="000000"/>
              </w:rPr>
              <w:t>r</w:t>
            </w:r>
          </w:p>
        </w:tc>
        <w:tc>
          <w:tcPr>
            <w:tcW w:w="992" w:type="dxa"/>
            <w:tcBorders>
              <w:top w:val="nil"/>
              <w:left w:val="nil"/>
              <w:bottom w:val="nil"/>
              <w:right w:val="nil"/>
            </w:tcBorders>
            <w:shd w:val="clear" w:color="auto" w:fill="auto"/>
            <w:noWrap/>
            <w:vAlign w:val="bottom"/>
            <w:hideMark/>
          </w:tcPr>
          <w:p w14:paraId="1166045C" w14:textId="4F9E1D20"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709" w:type="dxa"/>
            <w:tcBorders>
              <w:top w:val="nil"/>
              <w:left w:val="nil"/>
              <w:bottom w:val="nil"/>
              <w:right w:val="nil"/>
            </w:tcBorders>
            <w:shd w:val="clear" w:color="auto" w:fill="auto"/>
            <w:noWrap/>
            <w:vAlign w:val="bottom"/>
            <w:hideMark/>
          </w:tcPr>
          <w:p w14:paraId="11C1FB77" w14:textId="7F4FD661" w:rsidR="00DA7AD1" w:rsidRPr="00DA7AD1" w:rsidRDefault="00072410"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708" w:type="dxa"/>
            <w:tcBorders>
              <w:top w:val="nil"/>
              <w:left w:val="nil"/>
              <w:bottom w:val="nil"/>
              <w:right w:val="nil"/>
            </w:tcBorders>
            <w:shd w:val="clear" w:color="auto" w:fill="auto"/>
            <w:noWrap/>
            <w:vAlign w:val="bottom"/>
            <w:hideMark/>
          </w:tcPr>
          <w:p w14:paraId="59D8C6FE" w14:textId="7B24BAE6"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851" w:type="dxa"/>
            <w:tcBorders>
              <w:top w:val="nil"/>
              <w:left w:val="nil"/>
              <w:bottom w:val="nil"/>
              <w:right w:val="nil"/>
            </w:tcBorders>
            <w:shd w:val="clear" w:color="auto" w:fill="auto"/>
            <w:noWrap/>
            <w:vAlign w:val="bottom"/>
            <w:hideMark/>
          </w:tcPr>
          <w:p w14:paraId="6C56D20A" w14:textId="152CAFC8"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59C4CCAE" w14:textId="1C57FDD5" w:rsidR="00DA7AD1" w:rsidRPr="00DA7AD1" w:rsidRDefault="00072410"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850" w:type="dxa"/>
            <w:tcBorders>
              <w:top w:val="nil"/>
              <w:left w:val="nil"/>
              <w:bottom w:val="nil"/>
              <w:right w:val="nil"/>
            </w:tcBorders>
            <w:shd w:val="clear" w:color="auto" w:fill="auto"/>
            <w:noWrap/>
            <w:vAlign w:val="bottom"/>
            <w:hideMark/>
          </w:tcPr>
          <w:p w14:paraId="6DED2392" w14:textId="1709CDF4"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1111" w:type="dxa"/>
            <w:tcBorders>
              <w:top w:val="nil"/>
              <w:left w:val="nil"/>
              <w:bottom w:val="nil"/>
              <w:right w:val="nil"/>
            </w:tcBorders>
            <w:shd w:val="clear" w:color="auto" w:fill="auto"/>
            <w:noWrap/>
            <w:vAlign w:val="bottom"/>
            <w:hideMark/>
          </w:tcPr>
          <w:p w14:paraId="3D7A9B9D" w14:textId="0CCAA256"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23B0AE61" w14:textId="16FA2899" w:rsidR="00DA7AD1" w:rsidRPr="00DA7AD1" w:rsidRDefault="00072410"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D86847" w:rsidRPr="00DA7AD1" w14:paraId="7FE15F0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806BDEF" w14:textId="47DBA257" w:rsidR="00DA7AD1" w:rsidRPr="00DA7AD1" w:rsidRDefault="00D86847" w:rsidP="00DA7AD1">
            <w:pPr>
              <w:rPr>
                <w:rFonts w:ascii="Calibri" w:hAnsi="Calibri" w:cs="Calibri"/>
                <w:color w:val="000000"/>
              </w:rPr>
            </w:pPr>
            <w:proofErr w:type="spellStart"/>
            <w:r w:rsidRPr="00D86847">
              <w:rPr>
                <w:rFonts w:ascii="Calibri" w:hAnsi="Calibri" w:cs="Calibri"/>
                <w:color w:val="000000"/>
              </w:rPr>
              <w:t>Appreciation</w:t>
            </w:r>
            <w:proofErr w:type="spellEnd"/>
            <w:r w:rsidRPr="00D86847">
              <w:rPr>
                <w:rFonts w:ascii="Calibri" w:hAnsi="Calibri" w:cs="Calibri"/>
                <w:color w:val="000000"/>
              </w:rPr>
              <w:t xml:space="preserve"> of </w:t>
            </w:r>
            <w:proofErr w:type="spellStart"/>
            <w:r w:rsidRPr="00D86847">
              <w:rPr>
                <w:rFonts w:ascii="Calibri" w:hAnsi="Calibri" w:cs="Calibri"/>
                <w:color w:val="000000"/>
              </w:rPr>
              <w:t>others</w:t>
            </w:r>
            <w:proofErr w:type="spellEnd"/>
          </w:p>
        </w:tc>
        <w:tc>
          <w:tcPr>
            <w:tcW w:w="993" w:type="dxa"/>
            <w:tcBorders>
              <w:top w:val="nil"/>
              <w:left w:val="nil"/>
              <w:bottom w:val="nil"/>
              <w:right w:val="nil"/>
            </w:tcBorders>
            <w:shd w:val="clear" w:color="auto" w:fill="auto"/>
            <w:noWrap/>
            <w:vAlign w:val="bottom"/>
            <w:hideMark/>
          </w:tcPr>
          <w:p w14:paraId="45B166EB"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41C63131"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B5A0D40"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BB3207"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407B3865"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22F4C4A"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B8E854D"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259CD3AF"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0C71AC08" w14:textId="77777777" w:rsidR="00DA7AD1" w:rsidRPr="00DA7AD1" w:rsidRDefault="00DA7AD1" w:rsidP="00DA7AD1">
            <w:pPr>
              <w:rPr>
                <w:rFonts w:ascii="Calibri" w:hAnsi="Calibri" w:cs="Calibri"/>
                <w:color w:val="000000"/>
              </w:rPr>
            </w:pPr>
          </w:p>
        </w:tc>
      </w:tr>
      <w:tr w:rsidR="00D86847" w:rsidRPr="00DA7AD1" w14:paraId="644272B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406C119" w14:textId="52A571D0" w:rsidR="00DA7AD1" w:rsidRPr="00DA7AD1" w:rsidRDefault="00D86847" w:rsidP="00DA7AD1">
            <w:pPr>
              <w:rPr>
                <w:rFonts w:ascii="Calibri" w:hAnsi="Calibri" w:cs="Calibri"/>
                <w:color w:val="000000"/>
              </w:rPr>
            </w:pPr>
            <w:proofErr w:type="spellStart"/>
            <w:r w:rsidRPr="00D86847">
              <w:rPr>
                <w:rFonts w:ascii="Calibri" w:hAnsi="Calibri" w:cs="Calibri"/>
                <w:color w:val="000000"/>
              </w:rPr>
              <w:t>Meanness</w:t>
            </w:r>
            <w:proofErr w:type="spellEnd"/>
          </w:p>
        </w:tc>
        <w:tc>
          <w:tcPr>
            <w:tcW w:w="993" w:type="dxa"/>
            <w:tcBorders>
              <w:top w:val="nil"/>
              <w:left w:val="nil"/>
              <w:bottom w:val="nil"/>
              <w:right w:val="nil"/>
            </w:tcBorders>
            <w:shd w:val="clear" w:color="auto" w:fill="auto"/>
            <w:noWrap/>
            <w:vAlign w:val="bottom"/>
            <w:hideMark/>
          </w:tcPr>
          <w:p w14:paraId="122A88D1" w14:textId="77777777" w:rsidR="00DA7AD1" w:rsidRPr="00DA7AD1" w:rsidRDefault="00DA7AD1" w:rsidP="00DA7AD1">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04CF7E44"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272B9CFE"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F328F25"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61AA543C"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566" w:type="dxa"/>
            <w:tcBorders>
              <w:top w:val="nil"/>
              <w:left w:val="nil"/>
              <w:bottom w:val="nil"/>
              <w:right w:val="nil"/>
            </w:tcBorders>
            <w:shd w:val="clear" w:color="auto" w:fill="auto"/>
            <w:noWrap/>
            <w:vAlign w:val="bottom"/>
            <w:hideMark/>
          </w:tcPr>
          <w:p w14:paraId="5E6E5ACF"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A9EAF4F"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44B84A0F"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6CFDEB8D" w14:textId="77777777" w:rsidR="00DA7AD1" w:rsidRPr="00DA7AD1" w:rsidRDefault="00DA7AD1" w:rsidP="00DA7AD1">
            <w:pPr>
              <w:rPr>
                <w:rFonts w:ascii="Calibri" w:hAnsi="Calibri" w:cs="Calibri"/>
                <w:color w:val="000000"/>
              </w:rPr>
            </w:pPr>
          </w:p>
        </w:tc>
      </w:tr>
      <w:tr w:rsidR="00D86847" w:rsidRPr="00DA7AD1" w14:paraId="64660BF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4379EEF" w14:textId="56E0CFAF" w:rsidR="00DA7AD1" w:rsidRPr="00DA7AD1" w:rsidRDefault="00D86847" w:rsidP="00DA7AD1">
            <w:pPr>
              <w:rPr>
                <w:rFonts w:ascii="Calibri" w:hAnsi="Calibri" w:cs="Calibri"/>
                <w:color w:val="000000"/>
              </w:rPr>
            </w:pPr>
            <w:proofErr w:type="spellStart"/>
            <w:r w:rsidRPr="00D86847">
              <w:rPr>
                <w:rFonts w:ascii="Calibri" w:hAnsi="Calibri" w:cs="Calibri"/>
                <w:color w:val="000000"/>
              </w:rPr>
              <w:t>Superiority</w:t>
            </w:r>
            <w:proofErr w:type="spellEnd"/>
          </w:p>
        </w:tc>
        <w:tc>
          <w:tcPr>
            <w:tcW w:w="993" w:type="dxa"/>
            <w:tcBorders>
              <w:top w:val="nil"/>
              <w:left w:val="nil"/>
              <w:bottom w:val="nil"/>
              <w:right w:val="nil"/>
            </w:tcBorders>
            <w:shd w:val="clear" w:color="auto" w:fill="auto"/>
            <w:noWrap/>
            <w:vAlign w:val="bottom"/>
            <w:hideMark/>
          </w:tcPr>
          <w:p w14:paraId="44D9297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5A18909F"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7B710E28"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B391209"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1775C6B4"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1C549C4B"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4FCA5DC"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1111" w:type="dxa"/>
            <w:tcBorders>
              <w:top w:val="nil"/>
              <w:left w:val="nil"/>
              <w:bottom w:val="nil"/>
              <w:right w:val="nil"/>
            </w:tcBorders>
            <w:shd w:val="clear" w:color="auto" w:fill="auto"/>
            <w:noWrap/>
            <w:vAlign w:val="bottom"/>
            <w:hideMark/>
          </w:tcPr>
          <w:p w14:paraId="1B73E71B"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875A5CA" w14:textId="77777777" w:rsidR="00DA7AD1" w:rsidRPr="00DA7AD1" w:rsidRDefault="00DA7AD1" w:rsidP="00DA7AD1">
            <w:pPr>
              <w:rPr>
                <w:rFonts w:ascii="Calibri" w:hAnsi="Calibri" w:cs="Calibri"/>
                <w:color w:val="000000"/>
              </w:rPr>
            </w:pPr>
          </w:p>
        </w:tc>
      </w:tr>
      <w:tr w:rsidR="00D86847" w:rsidRPr="00DA7AD1" w14:paraId="04B87B8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9E553C0" w14:textId="4B2659A5" w:rsidR="00DA7AD1" w:rsidRPr="00DA7AD1" w:rsidRDefault="00D86847" w:rsidP="00DA7AD1">
            <w:pPr>
              <w:rPr>
                <w:rFonts w:ascii="Calibri" w:hAnsi="Calibri" w:cs="Calibri"/>
                <w:color w:val="000000"/>
              </w:rPr>
            </w:pPr>
            <w:r>
              <w:rPr>
                <w:rFonts w:ascii="Calibri" w:hAnsi="Calibri" w:cs="Calibri"/>
                <w:color w:val="000000"/>
              </w:rPr>
              <w:t>Trust</w:t>
            </w:r>
          </w:p>
        </w:tc>
        <w:tc>
          <w:tcPr>
            <w:tcW w:w="993" w:type="dxa"/>
            <w:tcBorders>
              <w:top w:val="nil"/>
              <w:left w:val="nil"/>
              <w:bottom w:val="nil"/>
              <w:right w:val="nil"/>
            </w:tcBorders>
            <w:shd w:val="clear" w:color="auto" w:fill="auto"/>
            <w:noWrap/>
            <w:vAlign w:val="bottom"/>
            <w:hideMark/>
          </w:tcPr>
          <w:p w14:paraId="2DCACADD" w14:textId="77777777" w:rsidR="00DA7AD1" w:rsidRPr="00DA7AD1" w:rsidRDefault="00DA7AD1" w:rsidP="00DA7AD1">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7D53928"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709" w:type="dxa"/>
            <w:tcBorders>
              <w:top w:val="nil"/>
              <w:left w:val="nil"/>
              <w:bottom w:val="nil"/>
              <w:right w:val="nil"/>
            </w:tcBorders>
            <w:shd w:val="clear" w:color="auto" w:fill="auto"/>
            <w:noWrap/>
            <w:vAlign w:val="bottom"/>
            <w:hideMark/>
          </w:tcPr>
          <w:p w14:paraId="29FE883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4BBF01C"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58F72502"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C539878"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E0CE5CC"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5FD89168"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124F3BDE" w14:textId="77777777" w:rsidR="00DA7AD1" w:rsidRPr="00DA7AD1" w:rsidRDefault="00DA7AD1" w:rsidP="00DA7AD1">
            <w:pPr>
              <w:rPr>
                <w:rFonts w:ascii="Calibri" w:hAnsi="Calibri" w:cs="Calibri"/>
                <w:color w:val="000000"/>
              </w:rPr>
            </w:pPr>
          </w:p>
        </w:tc>
      </w:tr>
      <w:tr w:rsidR="00D86847" w:rsidRPr="00DA7AD1" w14:paraId="7216419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66E51F" w14:textId="7A3B4BD5" w:rsidR="00DA7AD1" w:rsidRPr="00DA7AD1" w:rsidRDefault="00D86847" w:rsidP="00DA7AD1">
            <w:pPr>
              <w:rPr>
                <w:rFonts w:ascii="Calibri" w:hAnsi="Calibri" w:cs="Calibri"/>
                <w:color w:val="000000"/>
              </w:rPr>
            </w:pPr>
            <w:proofErr w:type="spellStart"/>
            <w:r>
              <w:rPr>
                <w:rFonts w:ascii="Calibri" w:hAnsi="Calibri" w:cs="Calibri"/>
                <w:color w:val="000000"/>
              </w:rPr>
              <w:t>Manipulation</w:t>
            </w:r>
            <w:proofErr w:type="spellEnd"/>
          </w:p>
        </w:tc>
        <w:tc>
          <w:tcPr>
            <w:tcW w:w="993" w:type="dxa"/>
            <w:tcBorders>
              <w:top w:val="nil"/>
              <w:left w:val="nil"/>
              <w:bottom w:val="nil"/>
              <w:right w:val="nil"/>
            </w:tcBorders>
            <w:shd w:val="clear" w:color="auto" w:fill="auto"/>
            <w:noWrap/>
            <w:vAlign w:val="bottom"/>
            <w:hideMark/>
          </w:tcPr>
          <w:p w14:paraId="6A70A742"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992" w:type="dxa"/>
            <w:tcBorders>
              <w:top w:val="nil"/>
              <w:left w:val="nil"/>
              <w:bottom w:val="nil"/>
              <w:right w:val="nil"/>
            </w:tcBorders>
            <w:shd w:val="clear" w:color="auto" w:fill="auto"/>
            <w:noWrap/>
            <w:vAlign w:val="bottom"/>
            <w:hideMark/>
          </w:tcPr>
          <w:p w14:paraId="7ECD7660"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2B433431"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C360442"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4F4E2441"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03D1A802"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2718C4"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7FEDC7F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601DCB89" w14:textId="77777777" w:rsidR="00DA7AD1" w:rsidRPr="00DA7AD1" w:rsidRDefault="00DA7AD1" w:rsidP="00DA7AD1">
            <w:pPr>
              <w:rPr>
                <w:rFonts w:ascii="Calibri" w:hAnsi="Calibri" w:cs="Calibri"/>
                <w:color w:val="000000"/>
              </w:rPr>
            </w:pPr>
          </w:p>
        </w:tc>
      </w:tr>
      <w:tr w:rsidR="00D86847" w:rsidRPr="00DA7AD1" w14:paraId="7EB191D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ADE9970" w14:textId="6275AE2C" w:rsidR="00DA7AD1" w:rsidRPr="00DA7AD1" w:rsidRDefault="00D86847" w:rsidP="00DA7AD1">
            <w:pPr>
              <w:rPr>
                <w:rFonts w:ascii="Calibri" w:hAnsi="Calibri" w:cs="Calibri"/>
                <w:color w:val="000000"/>
              </w:rPr>
            </w:pPr>
            <w:proofErr w:type="spellStart"/>
            <w:r w:rsidRPr="00D86847">
              <w:rPr>
                <w:rFonts w:ascii="Calibri" w:hAnsi="Calibri" w:cs="Calibri"/>
                <w:color w:val="000000"/>
              </w:rPr>
              <w:t>Altruism</w:t>
            </w:r>
            <w:proofErr w:type="spellEnd"/>
          </w:p>
        </w:tc>
        <w:tc>
          <w:tcPr>
            <w:tcW w:w="993" w:type="dxa"/>
            <w:tcBorders>
              <w:top w:val="nil"/>
              <w:left w:val="nil"/>
              <w:bottom w:val="nil"/>
              <w:right w:val="nil"/>
            </w:tcBorders>
            <w:shd w:val="clear" w:color="auto" w:fill="auto"/>
            <w:noWrap/>
            <w:vAlign w:val="bottom"/>
            <w:hideMark/>
          </w:tcPr>
          <w:p w14:paraId="28B15367"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992" w:type="dxa"/>
            <w:tcBorders>
              <w:top w:val="nil"/>
              <w:left w:val="nil"/>
              <w:bottom w:val="nil"/>
              <w:right w:val="nil"/>
            </w:tcBorders>
            <w:shd w:val="clear" w:color="auto" w:fill="auto"/>
            <w:noWrap/>
            <w:vAlign w:val="bottom"/>
            <w:hideMark/>
          </w:tcPr>
          <w:p w14:paraId="35D9579B"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6E02B032"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2E54A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2472EA2E"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78EBA41"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98C3DC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442A15C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D91D553" w14:textId="77777777" w:rsidR="00DA7AD1" w:rsidRPr="00DA7AD1" w:rsidRDefault="00DA7AD1" w:rsidP="00DA7AD1">
            <w:pPr>
              <w:rPr>
                <w:rFonts w:ascii="Calibri" w:hAnsi="Calibri" w:cs="Calibri"/>
                <w:color w:val="000000"/>
              </w:rPr>
            </w:pPr>
          </w:p>
        </w:tc>
      </w:tr>
      <w:tr w:rsidR="00D86847" w:rsidRPr="00DA7AD1" w14:paraId="7A0E281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33CF65" w14:textId="77777777" w:rsidR="00DA7AD1" w:rsidRPr="00DA7AD1" w:rsidRDefault="00DA7AD1" w:rsidP="00DA7AD1">
            <w:pPr>
              <w:rPr>
                <w:rFonts w:ascii="Calibri" w:hAnsi="Calibri" w:cs="Calibri"/>
                <w:color w:val="000000"/>
              </w:rPr>
            </w:pPr>
            <w:r w:rsidRPr="00DA7AD1">
              <w:rPr>
                <w:rFonts w:ascii="Calibri" w:hAnsi="Calibri" w:cs="Calibri"/>
                <w:color w:val="000000"/>
              </w:rPr>
              <w:t>A</w:t>
            </w:r>
          </w:p>
        </w:tc>
        <w:tc>
          <w:tcPr>
            <w:tcW w:w="993" w:type="dxa"/>
            <w:tcBorders>
              <w:top w:val="nil"/>
              <w:left w:val="nil"/>
              <w:bottom w:val="nil"/>
              <w:right w:val="nil"/>
            </w:tcBorders>
            <w:shd w:val="clear" w:color="auto" w:fill="auto"/>
            <w:noWrap/>
            <w:vAlign w:val="bottom"/>
            <w:hideMark/>
          </w:tcPr>
          <w:p w14:paraId="47A85931"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20727E40"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636221BC"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708" w:type="dxa"/>
            <w:tcBorders>
              <w:top w:val="nil"/>
              <w:left w:val="nil"/>
              <w:bottom w:val="nil"/>
              <w:right w:val="nil"/>
            </w:tcBorders>
            <w:shd w:val="clear" w:color="auto" w:fill="auto"/>
            <w:noWrap/>
            <w:vAlign w:val="bottom"/>
            <w:hideMark/>
          </w:tcPr>
          <w:p w14:paraId="46B503E3"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2962E61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5221FD43"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7CFDC54F"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1111" w:type="dxa"/>
            <w:tcBorders>
              <w:top w:val="nil"/>
              <w:left w:val="nil"/>
              <w:bottom w:val="nil"/>
              <w:right w:val="nil"/>
            </w:tcBorders>
            <w:shd w:val="clear" w:color="auto" w:fill="auto"/>
            <w:noWrap/>
            <w:vAlign w:val="bottom"/>
            <w:hideMark/>
          </w:tcPr>
          <w:p w14:paraId="2E875CF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A062D8D"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r w:rsidR="00D86847" w:rsidRPr="00DA7AD1" w14:paraId="6B981AB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C246767" w14:textId="3537BEEC" w:rsidR="00D86847" w:rsidRPr="00DA7AD1" w:rsidRDefault="00D86847" w:rsidP="00D86847">
            <w:pPr>
              <w:rPr>
                <w:rFonts w:ascii="Calibri" w:hAnsi="Calibri" w:cs="Calibri"/>
                <w:color w:val="000000"/>
              </w:rPr>
            </w:pPr>
            <w:proofErr w:type="spellStart"/>
            <w:r>
              <w:rPr>
                <w:rFonts w:ascii="Calibri" w:hAnsi="Calibri" w:cs="Calibri"/>
                <w:color w:val="000000"/>
              </w:rPr>
              <w:t>Dominance</w:t>
            </w:r>
            <w:proofErr w:type="spellEnd"/>
          </w:p>
        </w:tc>
        <w:tc>
          <w:tcPr>
            <w:tcW w:w="993" w:type="dxa"/>
            <w:tcBorders>
              <w:top w:val="nil"/>
              <w:left w:val="nil"/>
              <w:bottom w:val="nil"/>
              <w:right w:val="nil"/>
            </w:tcBorders>
            <w:shd w:val="clear" w:color="auto" w:fill="auto"/>
            <w:noWrap/>
            <w:vAlign w:val="bottom"/>
            <w:hideMark/>
          </w:tcPr>
          <w:p w14:paraId="6B9F8F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635858C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4F51F43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6122DA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526F4E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31B642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CDEA60E"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2495382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B9844E7" w14:textId="77777777" w:rsidR="00D86847" w:rsidRPr="00DA7AD1" w:rsidRDefault="00D86847" w:rsidP="00D86847">
            <w:pPr>
              <w:rPr>
                <w:rFonts w:ascii="Calibri" w:hAnsi="Calibri" w:cs="Calibri"/>
                <w:color w:val="000000"/>
              </w:rPr>
            </w:pPr>
          </w:p>
        </w:tc>
      </w:tr>
      <w:tr w:rsidR="00D86847" w:rsidRPr="00DA7AD1" w14:paraId="59445DE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5470081" w14:textId="5528CA1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persistence</w:t>
            </w:r>
            <w:proofErr w:type="spellEnd"/>
          </w:p>
        </w:tc>
        <w:tc>
          <w:tcPr>
            <w:tcW w:w="993" w:type="dxa"/>
            <w:tcBorders>
              <w:top w:val="nil"/>
              <w:left w:val="nil"/>
              <w:bottom w:val="nil"/>
              <w:right w:val="nil"/>
            </w:tcBorders>
            <w:shd w:val="clear" w:color="auto" w:fill="auto"/>
            <w:noWrap/>
            <w:vAlign w:val="bottom"/>
            <w:hideMark/>
          </w:tcPr>
          <w:p w14:paraId="4FEB3D16"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0E93683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4812873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9D9EC0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08416280"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6C8FA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2D0F57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1111" w:type="dxa"/>
            <w:tcBorders>
              <w:top w:val="nil"/>
              <w:left w:val="nil"/>
              <w:bottom w:val="nil"/>
              <w:right w:val="nil"/>
            </w:tcBorders>
            <w:shd w:val="clear" w:color="auto" w:fill="auto"/>
            <w:noWrap/>
            <w:vAlign w:val="bottom"/>
            <w:hideMark/>
          </w:tcPr>
          <w:p w14:paraId="75663F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6E9B5CCF" w14:textId="77777777" w:rsidR="00D86847" w:rsidRPr="00DA7AD1" w:rsidRDefault="00D86847" w:rsidP="00D86847">
            <w:pPr>
              <w:rPr>
                <w:rFonts w:ascii="Calibri" w:hAnsi="Calibri" w:cs="Calibri"/>
                <w:color w:val="000000"/>
              </w:rPr>
            </w:pPr>
          </w:p>
        </w:tc>
      </w:tr>
      <w:tr w:rsidR="00D86847" w:rsidRPr="00DA7AD1" w14:paraId="7ABEDD7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ED3EFCA" w14:textId="0F2ADAE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self</w:t>
            </w:r>
            <w:proofErr w:type="spellEnd"/>
            <w:r>
              <w:rPr>
                <w:rFonts w:ascii="Calibri" w:hAnsi="Calibri" w:cs="Calibri"/>
                <w:color w:val="000000"/>
              </w:rPr>
              <w:t>-control</w:t>
            </w:r>
          </w:p>
        </w:tc>
        <w:tc>
          <w:tcPr>
            <w:tcW w:w="993" w:type="dxa"/>
            <w:tcBorders>
              <w:top w:val="nil"/>
              <w:left w:val="nil"/>
              <w:bottom w:val="nil"/>
              <w:right w:val="nil"/>
            </w:tcBorders>
            <w:shd w:val="clear" w:color="auto" w:fill="auto"/>
            <w:noWrap/>
            <w:vAlign w:val="bottom"/>
            <w:hideMark/>
          </w:tcPr>
          <w:p w14:paraId="13A2F60C" w14:textId="77777777" w:rsidR="00D86847" w:rsidRPr="00DA7AD1" w:rsidRDefault="00D86847" w:rsidP="00D86847">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6DC5DFC8"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709" w:type="dxa"/>
            <w:tcBorders>
              <w:top w:val="nil"/>
              <w:left w:val="nil"/>
              <w:bottom w:val="nil"/>
              <w:right w:val="nil"/>
            </w:tcBorders>
            <w:shd w:val="clear" w:color="auto" w:fill="auto"/>
            <w:noWrap/>
            <w:vAlign w:val="bottom"/>
            <w:hideMark/>
          </w:tcPr>
          <w:p w14:paraId="5B26E90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EC7790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57BE60D"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3D35642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450076E"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4D39E9F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41D09A5E" w14:textId="77777777" w:rsidR="00D86847" w:rsidRPr="00DA7AD1" w:rsidRDefault="00D86847" w:rsidP="00D86847">
            <w:pPr>
              <w:rPr>
                <w:rFonts w:ascii="Calibri" w:hAnsi="Calibri" w:cs="Calibri"/>
                <w:color w:val="000000"/>
              </w:rPr>
            </w:pPr>
          </w:p>
        </w:tc>
      </w:tr>
      <w:tr w:rsidR="00D86847" w:rsidRPr="00DA7AD1" w14:paraId="74039E3C"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7440058" w14:textId="34C6B5E5" w:rsidR="00D86847" w:rsidRPr="00DA7AD1" w:rsidRDefault="00D86847" w:rsidP="00D86847">
            <w:pPr>
              <w:rPr>
                <w:rFonts w:ascii="Calibri" w:hAnsi="Calibri" w:cs="Calibri"/>
                <w:color w:val="000000"/>
              </w:rPr>
            </w:pPr>
            <w:proofErr w:type="spellStart"/>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p>
        </w:tc>
        <w:tc>
          <w:tcPr>
            <w:tcW w:w="993" w:type="dxa"/>
            <w:tcBorders>
              <w:top w:val="nil"/>
              <w:left w:val="nil"/>
              <w:bottom w:val="nil"/>
              <w:right w:val="nil"/>
            </w:tcBorders>
            <w:shd w:val="clear" w:color="auto" w:fill="auto"/>
            <w:noWrap/>
            <w:vAlign w:val="bottom"/>
            <w:hideMark/>
          </w:tcPr>
          <w:p w14:paraId="56CDF43A"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361F411E"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811F2E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39FEA40"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78EA4F6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F5C89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31D0121"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1111" w:type="dxa"/>
            <w:tcBorders>
              <w:top w:val="nil"/>
              <w:left w:val="nil"/>
              <w:bottom w:val="nil"/>
              <w:right w:val="nil"/>
            </w:tcBorders>
            <w:shd w:val="clear" w:color="auto" w:fill="auto"/>
            <w:noWrap/>
            <w:vAlign w:val="bottom"/>
            <w:hideMark/>
          </w:tcPr>
          <w:p w14:paraId="2AC11247"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BE6E59D" w14:textId="77777777" w:rsidR="00D86847" w:rsidRPr="00DA7AD1" w:rsidRDefault="00D86847" w:rsidP="00D86847">
            <w:pPr>
              <w:rPr>
                <w:rFonts w:ascii="Calibri" w:hAnsi="Calibri" w:cs="Calibri"/>
                <w:color w:val="000000"/>
              </w:rPr>
            </w:pPr>
          </w:p>
        </w:tc>
      </w:tr>
      <w:tr w:rsidR="00D86847" w:rsidRPr="00DA7AD1" w14:paraId="6968484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9DA5AB5" w14:textId="2B1DB63C" w:rsidR="00D86847" w:rsidRPr="00DA7AD1" w:rsidRDefault="00D86847" w:rsidP="00D86847">
            <w:pPr>
              <w:rPr>
                <w:rFonts w:ascii="Calibri" w:hAnsi="Calibri" w:cs="Calibri"/>
                <w:color w:val="000000"/>
              </w:rPr>
            </w:pPr>
            <w:proofErr w:type="spellStart"/>
            <w:r>
              <w:rPr>
                <w:rFonts w:ascii="Calibri" w:hAnsi="Calibri" w:cs="Calibri"/>
                <w:color w:val="000000"/>
              </w:rPr>
              <w:t>Goal-orientation</w:t>
            </w:r>
            <w:proofErr w:type="spellEnd"/>
          </w:p>
        </w:tc>
        <w:tc>
          <w:tcPr>
            <w:tcW w:w="993" w:type="dxa"/>
            <w:tcBorders>
              <w:top w:val="nil"/>
              <w:left w:val="nil"/>
              <w:bottom w:val="nil"/>
              <w:right w:val="nil"/>
            </w:tcBorders>
            <w:shd w:val="clear" w:color="auto" w:fill="auto"/>
            <w:noWrap/>
            <w:vAlign w:val="bottom"/>
            <w:hideMark/>
          </w:tcPr>
          <w:p w14:paraId="58D6B5C8" w14:textId="77777777" w:rsidR="00D86847" w:rsidRPr="00DA7AD1" w:rsidRDefault="00D86847" w:rsidP="00D86847">
            <w:pPr>
              <w:rPr>
                <w:rFonts w:ascii="Calibri" w:hAnsi="Calibri" w:cs="Calibri"/>
                <w:color w:val="000000"/>
              </w:rPr>
            </w:pPr>
            <w:r w:rsidRPr="00DA7AD1">
              <w:rPr>
                <w:rFonts w:ascii="Calibri" w:hAnsi="Calibri" w:cs="Calibri"/>
                <w:color w:val="000000"/>
              </w:rPr>
              <w:t>0.28</w:t>
            </w:r>
          </w:p>
        </w:tc>
        <w:tc>
          <w:tcPr>
            <w:tcW w:w="992" w:type="dxa"/>
            <w:tcBorders>
              <w:top w:val="nil"/>
              <w:left w:val="nil"/>
              <w:bottom w:val="nil"/>
              <w:right w:val="nil"/>
            </w:tcBorders>
            <w:shd w:val="clear" w:color="auto" w:fill="auto"/>
            <w:noWrap/>
            <w:vAlign w:val="bottom"/>
            <w:hideMark/>
          </w:tcPr>
          <w:p w14:paraId="4008A64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26E0C05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73FF12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851" w:type="dxa"/>
            <w:tcBorders>
              <w:top w:val="nil"/>
              <w:left w:val="nil"/>
              <w:bottom w:val="nil"/>
              <w:right w:val="nil"/>
            </w:tcBorders>
            <w:shd w:val="clear" w:color="auto" w:fill="auto"/>
            <w:noWrap/>
            <w:vAlign w:val="bottom"/>
            <w:hideMark/>
          </w:tcPr>
          <w:p w14:paraId="0B12F7FB"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71BFFBF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D335F18"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66D4067D"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6F09E377" w14:textId="77777777" w:rsidR="00D86847" w:rsidRPr="00DA7AD1" w:rsidRDefault="00D86847" w:rsidP="00D86847">
            <w:pPr>
              <w:rPr>
                <w:rFonts w:ascii="Calibri" w:hAnsi="Calibri" w:cs="Calibri"/>
                <w:color w:val="000000"/>
              </w:rPr>
            </w:pPr>
          </w:p>
        </w:tc>
      </w:tr>
      <w:tr w:rsidR="00D86847" w:rsidRPr="00DA7AD1" w14:paraId="63534FA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AAF71B" w14:textId="403527FA" w:rsidR="00D86847" w:rsidRPr="00DA7AD1" w:rsidRDefault="00D86847" w:rsidP="00D86847">
            <w:pPr>
              <w:rPr>
                <w:rFonts w:ascii="Calibri" w:hAnsi="Calibri" w:cs="Calibri"/>
                <w:color w:val="000000"/>
              </w:rPr>
            </w:pPr>
            <w:proofErr w:type="spellStart"/>
            <w:r>
              <w:rPr>
                <w:rFonts w:ascii="Calibri" w:hAnsi="Calibri" w:cs="Calibri"/>
                <w:color w:val="000000"/>
              </w:rPr>
              <w:t>Carefulness</w:t>
            </w:r>
            <w:proofErr w:type="spellEnd"/>
          </w:p>
        </w:tc>
        <w:tc>
          <w:tcPr>
            <w:tcW w:w="993" w:type="dxa"/>
            <w:tcBorders>
              <w:top w:val="nil"/>
              <w:left w:val="nil"/>
              <w:bottom w:val="nil"/>
              <w:right w:val="nil"/>
            </w:tcBorders>
            <w:shd w:val="clear" w:color="auto" w:fill="auto"/>
            <w:noWrap/>
            <w:vAlign w:val="bottom"/>
            <w:hideMark/>
          </w:tcPr>
          <w:p w14:paraId="19D6C30B"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5F05369D"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660D190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F85DBEA"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6D526696"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0D368C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C21F6E" w14:textId="77777777" w:rsidR="00D86847" w:rsidRPr="00DA7AD1" w:rsidRDefault="00D86847" w:rsidP="00D86847">
            <w:pPr>
              <w:rPr>
                <w:rFonts w:ascii="Calibri" w:hAnsi="Calibri" w:cs="Calibri"/>
                <w:color w:val="000000"/>
              </w:rPr>
            </w:pPr>
            <w:r w:rsidRPr="00DA7AD1">
              <w:rPr>
                <w:rFonts w:ascii="Calibri" w:hAnsi="Calibri" w:cs="Calibri"/>
                <w:color w:val="000000"/>
              </w:rPr>
              <w:t>-0.17</w:t>
            </w:r>
          </w:p>
        </w:tc>
        <w:tc>
          <w:tcPr>
            <w:tcW w:w="1111" w:type="dxa"/>
            <w:tcBorders>
              <w:top w:val="nil"/>
              <w:left w:val="nil"/>
              <w:bottom w:val="nil"/>
              <w:right w:val="nil"/>
            </w:tcBorders>
            <w:shd w:val="clear" w:color="auto" w:fill="auto"/>
            <w:noWrap/>
            <w:vAlign w:val="bottom"/>
            <w:hideMark/>
          </w:tcPr>
          <w:p w14:paraId="323C809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1E4BEB" w14:textId="77777777" w:rsidR="00D86847" w:rsidRPr="00DA7AD1" w:rsidRDefault="00D86847" w:rsidP="00D86847">
            <w:pPr>
              <w:rPr>
                <w:rFonts w:ascii="Calibri" w:hAnsi="Calibri" w:cs="Calibri"/>
                <w:color w:val="000000"/>
              </w:rPr>
            </w:pPr>
          </w:p>
        </w:tc>
      </w:tr>
      <w:tr w:rsidR="00D86847" w:rsidRPr="00DA7AD1" w14:paraId="6B85072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E236A3A" w14:textId="367D40ED"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order</w:t>
            </w:r>
            <w:proofErr w:type="spellEnd"/>
          </w:p>
        </w:tc>
        <w:tc>
          <w:tcPr>
            <w:tcW w:w="993" w:type="dxa"/>
            <w:tcBorders>
              <w:top w:val="nil"/>
              <w:left w:val="nil"/>
              <w:bottom w:val="nil"/>
              <w:right w:val="nil"/>
            </w:tcBorders>
            <w:shd w:val="clear" w:color="auto" w:fill="auto"/>
            <w:noWrap/>
            <w:vAlign w:val="bottom"/>
            <w:hideMark/>
          </w:tcPr>
          <w:p w14:paraId="7FAEDB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721A6E3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7B020D9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8CF3D5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6170AEA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3AE8650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779D47"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07D94BF8"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36440BCA" w14:textId="77777777" w:rsidR="00D86847" w:rsidRPr="00DA7AD1" w:rsidRDefault="00D86847" w:rsidP="00D86847">
            <w:pPr>
              <w:rPr>
                <w:rFonts w:ascii="Calibri" w:hAnsi="Calibri" w:cs="Calibri"/>
                <w:color w:val="000000"/>
              </w:rPr>
            </w:pPr>
          </w:p>
        </w:tc>
      </w:tr>
      <w:tr w:rsidR="00D86847" w:rsidRPr="00DA7AD1" w14:paraId="798FC36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9715A1B" w14:textId="2AAC0BE9"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p>
        </w:tc>
        <w:tc>
          <w:tcPr>
            <w:tcW w:w="993" w:type="dxa"/>
            <w:tcBorders>
              <w:top w:val="nil"/>
              <w:left w:val="nil"/>
              <w:bottom w:val="nil"/>
              <w:right w:val="nil"/>
            </w:tcBorders>
            <w:shd w:val="clear" w:color="auto" w:fill="auto"/>
            <w:noWrap/>
            <w:vAlign w:val="bottom"/>
            <w:hideMark/>
          </w:tcPr>
          <w:p w14:paraId="3C9ABB50"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992" w:type="dxa"/>
            <w:tcBorders>
              <w:top w:val="nil"/>
              <w:left w:val="nil"/>
              <w:bottom w:val="nil"/>
              <w:right w:val="nil"/>
            </w:tcBorders>
            <w:shd w:val="clear" w:color="auto" w:fill="auto"/>
            <w:noWrap/>
            <w:vAlign w:val="bottom"/>
            <w:hideMark/>
          </w:tcPr>
          <w:p w14:paraId="1710CF6C"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AF2102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63025C"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785E5ADC"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D0A92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F6012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01961F2A"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7364F5E" w14:textId="77777777" w:rsidR="00D86847" w:rsidRPr="00DA7AD1" w:rsidRDefault="00D86847" w:rsidP="00D86847">
            <w:pPr>
              <w:rPr>
                <w:rFonts w:ascii="Calibri" w:hAnsi="Calibri" w:cs="Calibri"/>
                <w:color w:val="000000"/>
              </w:rPr>
            </w:pPr>
          </w:p>
        </w:tc>
      </w:tr>
      <w:tr w:rsidR="00D86847" w:rsidRPr="00DA7AD1" w14:paraId="1BD8E4C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B494920" w14:textId="4D0A3A9D" w:rsidR="00D86847" w:rsidRPr="00DA7AD1" w:rsidRDefault="00D86847" w:rsidP="00D86847">
            <w:pPr>
              <w:rPr>
                <w:rFonts w:ascii="Calibri" w:hAnsi="Calibri" w:cs="Calibri"/>
                <w:color w:val="000000"/>
              </w:rPr>
            </w:pPr>
            <w:proofErr w:type="spellStart"/>
            <w:r>
              <w:rPr>
                <w:rFonts w:ascii="Calibri" w:hAnsi="Calibri" w:cs="Calibri"/>
                <w:color w:val="000000"/>
              </w:rPr>
              <w:t>Productivity</w:t>
            </w:r>
            <w:proofErr w:type="spellEnd"/>
          </w:p>
        </w:tc>
        <w:tc>
          <w:tcPr>
            <w:tcW w:w="993" w:type="dxa"/>
            <w:tcBorders>
              <w:top w:val="nil"/>
              <w:left w:val="nil"/>
              <w:bottom w:val="nil"/>
              <w:right w:val="nil"/>
            </w:tcBorders>
            <w:shd w:val="clear" w:color="auto" w:fill="auto"/>
            <w:noWrap/>
            <w:vAlign w:val="bottom"/>
            <w:hideMark/>
          </w:tcPr>
          <w:p w14:paraId="65871555"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0A4A4D6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5F871A2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D02AEBE"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AF69CCB"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71E9F58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77E3250"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7F5CE5EC"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29ED9E26" w14:textId="77777777" w:rsidR="00D86847" w:rsidRPr="00DA7AD1" w:rsidRDefault="00D86847" w:rsidP="00D86847">
            <w:pPr>
              <w:rPr>
                <w:rFonts w:ascii="Calibri" w:hAnsi="Calibri" w:cs="Calibri"/>
                <w:color w:val="000000"/>
              </w:rPr>
            </w:pPr>
          </w:p>
        </w:tc>
      </w:tr>
      <w:tr w:rsidR="00D86847" w:rsidRPr="00DA7AD1" w14:paraId="5D3FA59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ACCAEDB" w14:textId="77777777" w:rsidR="00DA7AD1" w:rsidRPr="00DA7AD1" w:rsidRDefault="00DA7AD1" w:rsidP="00DA7AD1">
            <w:pPr>
              <w:rPr>
                <w:rFonts w:ascii="Calibri" w:hAnsi="Calibri" w:cs="Calibri"/>
                <w:color w:val="000000"/>
              </w:rPr>
            </w:pPr>
            <w:r w:rsidRPr="00DA7AD1">
              <w:rPr>
                <w:rFonts w:ascii="Calibri" w:hAnsi="Calibri" w:cs="Calibri"/>
                <w:color w:val="000000"/>
              </w:rPr>
              <w:t>C</w:t>
            </w:r>
          </w:p>
        </w:tc>
        <w:tc>
          <w:tcPr>
            <w:tcW w:w="993" w:type="dxa"/>
            <w:tcBorders>
              <w:top w:val="nil"/>
              <w:left w:val="nil"/>
              <w:bottom w:val="nil"/>
              <w:right w:val="nil"/>
            </w:tcBorders>
            <w:shd w:val="clear" w:color="auto" w:fill="auto"/>
            <w:noWrap/>
            <w:vAlign w:val="bottom"/>
            <w:hideMark/>
          </w:tcPr>
          <w:p w14:paraId="495CF33B"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992" w:type="dxa"/>
            <w:tcBorders>
              <w:top w:val="nil"/>
              <w:left w:val="nil"/>
              <w:bottom w:val="nil"/>
              <w:right w:val="nil"/>
            </w:tcBorders>
            <w:shd w:val="clear" w:color="auto" w:fill="auto"/>
            <w:noWrap/>
            <w:vAlign w:val="bottom"/>
            <w:hideMark/>
          </w:tcPr>
          <w:p w14:paraId="0DEBF90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30BD25CF"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708" w:type="dxa"/>
            <w:tcBorders>
              <w:top w:val="nil"/>
              <w:left w:val="nil"/>
              <w:bottom w:val="nil"/>
              <w:right w:val="nil"/>
            </w:tcBorders>
            <w:shd w:val="clear" w:color="auto" w:fill="auto"/>
            <w:noWrap/>
            <w:vAlign w:val="bottom"/>
            <w:hideMark/>
          </w:tcPr>
          <w:p w14:paraId="63604CBD" w14:textId="77777777" w:rsidR="00DA7AD1" w:rsidRPr="00DA7AD1" w:rsidRDefault="00DA7AD1" w:rsidP="00DA7AD1">
            <w:pPr>
              <w:rPr>
                <w:rFonts w:ascii="Calibri" w:hAnsi="Calibri" w:cs="Calibri"/>
                <w:color w:val="000000"/>
              </w:rPr>
            </w:pPr>
            <w:r w:rsidRPr="00DA7AD1">
              <w:rPr>
                <w:rFonts w:ascii="Calibri" w:hAnsi="Calibri" w:cs="Calibri"/>
                <w:color w:val="000000"/>
              </w:rPr>
              <w:t>0.23</w:t>
            </w:r>
          </w:p>
        </w:tc>
        <w:tc>
          <w:tcPr>
            <w:tcW w:w="851" w:type="dxa"/>
            <w:tcBorders>
              <w:top w:val="nil"/>
              <w:left w:val="nil"/>
              <w:bottom w:val="nil"/>
              <w:right w:val="nil"/>
            </w:tcBorders>
            <w:shd w:val="clear" w:color="auto" w:fill="auto"/>
            <w:noWrap/>
            <w:vAlign w:val="bottom"/>
            <w:hideMark/>
          </w:tcPr>
          <w:p w14:paraId="006CE700"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CE69389"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64B6D2DF" w14:textId="77777777" w:rsidR="00DA7AD1" w:rsidRPr="00DA7AD1" w:rsidRDefault="00DA7AD1" w:rsidP="00DA7AD1">
            <w:pPr>
              <w:rPr>
                <w:rFonts w:ascii="Calibri" w:hAnsi="Calibri" w:cs="Calibri"/>
                <w:color w:val="000000"/>
              </w:rPr>
            </w:pPr>
            <w:r w:rsidRPr="00DA7AD1">
              <w:rPr>
                <w:rFonts w:ascii="Calibri" w:hAnsi="Calibri" w:cs="Calibri"/>
                <w:color w:val="000000"/>
              </w:rPr>
              <w:t>-0.28</w:t>
            </w:r>
          </w:p>
        </w:tc>
        <w:tc>
          <w:tcPr>
            <w:tcW w:w="1111" w:type="dxa"/>
            <w:tcBorders>
              <w:top w:val="nil"/>
              <w:left w:val="nil"/>
              <w:bottom w:val="nil"/>
              <w:right w:val="nil"/>
            </w:tcBorders>
            <w:shd w:val="clear" w:color="auto" w:fill="auto"/>
            <w:noWrap/>
            <w:vAlign w:val="bottom"/>
            <w:hideMark/>
          </w:tcPr>
          <w:p w14:paraId="54C4B42A"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9409277"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r>
      <w:tr w:rsidR="00D86847" w:rsidRPr="00DA7AD1" w14:paraId="5AB5184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DC05AD5" w14:textId="6A4FFBC9" w:rsidR="00DA7AD1" w:rsidRPr="00DA7AD1" w:rsidRDefault="00D86847" w:rsidP="00DA7AD1">
            <w:pPr>
              <w:rPr>
                <w:rFonts w:ascii="Calibri" w:hAnsi="Calibri" w:cs="Calibri"/>
                <w:color w:val="000000"/>
              </w:rPr>
            </w:pPr>
            <w:proofErr w:type="spellStart"/>
            <w:r w:rsidRPr="00D86847">
              <w:rPr>
                <w:rFonts w:ascii="Calibri" w:hAnsi="Calibri" w:cs="Calibri"/>
                <w:color w:val="000000"/>
              </w:rPr>
              <w:t>Shyness</w:t>
            </w:r>
            <w:proofErr w:type="spellEnd"/>
          </w:p>
        </w:tc>
        <w:tc>
          <w:tcPr>
            <w:tcW w:w="993" w:type="dxa"/>
            <w:tcBorders>
              <w:top w:val="nil"/>
              <w:left w:val="nil"/>
              <w:bottom w:val="nil"/>
              <w:right w:val="nil"/>
            </w:tcBorders>
            <w:shd w:val="clear" w:color="auto" w:fill="auto"/>
            <w:noWrap/>
            <w:vAlign w:val="bottom"/>
            <w:hideMark/>
          </w:tcPr>
          <w:p w14:paraId="07699A7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992" w:type="dxa"/>
            <w:tcBorders>
              <w:top w:val="nil"/>
              <w:left w:val="nil"/>
              <w:bottom w:val="nil"/>
              <w:right w:val="nil"/>
            </w:tcBorders>
            <w:shd w:val="clear" w:color="auto" w:fill="auto"/>
            <w:noWrap/>
            <w:vAlign w:val="bottom"/>
            <w:hideMark/>
          </w:tcPr>
          <w:p w14:paraId="7956744E"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04B8C85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FE9F8E3"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0DFDE30D"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5FFC213E"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94383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5F3D7703"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40B908B" w14:textId="77777777" w:rsidR="00DA7AD1" w:rsidRPr="00DA7AD1" w:rsidRDefault="00DA7AD1" w:rsidP="00DA7AD1">
            <w:pPr>
              <w:rPr>
                <w:rFonts w:ascii="Calibri" w:hAnsi="Calibri" w:cs="Calibri"/>
                <w:color w:val="000000"/>
              </w:rPr>
            </w:pPr>
          </w:p>
        </w:tc>
      </w:tr>
      <w:tr w:rsidR="00D86847" w:rsidRPr="00DA7AD1" w14:paraId="3AA4284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0708E2A" w14:textId="4BCA6711" w:rsidR="00D86847" w:rsidRPr="00DA7AD1" w:rsidRDefault="00D86847" w:rsidP="00D86847">
            <w:pPr>
              <w:rPr>
                <w:rFonts w:ascii="Calibri" w:hAnsi="Calibri" w:cs="Calibri"/>
                <w:color w:val="000000"/>
              </w:rPr>
            </w:pPr>
            <w:proofErr w:type="spellStart"/>
            <w:r>
              <w:rPr>
                <w:rFonts w:ascii="Calibri" w:hAnsi="Calibri" w:cs="Calibri"/>
                <w:color w:val="000000"/>
              </w:rPr>
              <w:t>Reclusiveness</w:t>
            </w:r>
            <w:proofErr w:type="spellEnd"/>
          </w:p>
        </w:tc>
        <w:tc>
          <w:tcPr>
            <w:tcW w:w="993" w:type="dxa"/>
            <w:tcBorders>
              <w:top w:val="nil"/>
              <w:left w:val="nil"/>
              <w:bottom w:val="nil"/>
              <w:right w:val="nil"/>
            </w:tcBorders>
            <w:shd w:val="clear" w:color="auto" w:fill="auto"/>
            <w:noWrap/>
            <w:vAlign w:val="bottom"/>
            <w:hideMark/>
          </w:tcPr>
          <w:p w14:paraId="290ADA92"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06FC98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B92827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EA36A2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E2BC45E"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10190319"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A988B5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9270185"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28720E87" w14:textId="77777777" w:rsidR="00D86847" w:rsidRPr="00DA7AD1" w:rsidRDefault="00D86847" w:rsidP="00D86847">
            <w:pPr>
              <w:rPr>
                <w:rFonts w:ascii="Calibri" w:hAnsi="Calibri" w:cs="Calibri"/>
                <w:color w:val="000000"/>
              </w:rPr>
            </w:pPr>
          </w:p>
        </w:tc>
      </w:tr>
      <w:tr w:rsidR="00D86847" w:rsidRPr="00DA7AD1" w14:paraId="108ECDE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6A9564D" w14:textId="0299CE4D" w:rsidR="00D86847" w:rsidRPr="00DA7AD1" w:rsidRDefault="00D86847" w:rsidP="00D86847">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993" w:type="dxa"/>
            <w:tcBorders>
              <w:top w:val="nil"/>
              <w:left w:val="nil"/>
              <w:bottom w:val="nil"/>
              <w:right w:val="nil"/>
            </w:tcBorders>
            <w:shd w:val="clear" w:color="auto" w:fill="auto"/>
            <w:noWrap/>
            <w:vAlign w:val="bottom"/>
            <w:hideMark/>
          </w:tcPr>
          <w:p w14:paraId="69609825" w14:textId="77777777" w:rsidR="00D86847" w:rsidRPr="00DA7AD1" w:rsidRDefault="00D86847" w:rsidP="00D86847">
            <w:pPr>
              <w:rPr>
                <w:rFonts w:ascii="Calibri" w:hAnsi="Calibri" w:cs="Calibri"/>
                <w:color w:val="000000"/>
              </w:rPr>
            </w:pPr>
            <w:r w:rsidRPr="00DA7AD1">
              <w:rPr>
                <w:rFonts w:ascii="Calibri" w:hAnsi="Calibri" w:cs="Calibri"/>
                <w:color w:val="000000"/>
              </w:rPr>
              <w:t>0.49</w:t>
            </w:r>
          </w:p>
        </w:tc>
        <w:tc>
          <w:tcPr>
            <w:tcW w:w="992" w:type="dxa"/>
            <w:tcBorders>
              <w:top w:val="nil"/>
              <w:left w:val="nil"/>
              <w:bottom w:val="nil"/>
              <w:right w:val="nil"/>
            </w:tcBorders>
            <w:shd w:val="clear" w:color="auto" w:fill="auto"/>
            <w:noWrap/>
            <w:vAlign w:val="bottom"/>
            <w:hideMark/>
          </w:tcPr>
          <w:p w14:paraId="39B9AAEB" w14:textId="77777777" w:rsidR="00D86847" w:rsidRPr="00DA7AD1" w:rsidRDefault="00D86847" w:rsidP="00D86847">
            <w:pPr>
              <w:rPr>
                <w:rFonts w:ascii="Calibri" w:hAnsi="Calibri" w:cs="Calibri"/>
                <w:color w:val="000000"/>
              </w:rPr>
            </w:pPr>
            <w:r w:rsidRPr="00DA7AD1">
              <w:rPr>
                <w:rFonts w:ascii="Calibri" w:hAnsi="Calibri" w:cs="Calibri"/>
                <w:color w:val="000000"/>
              </w:rPr>
              <w:t>0.52*</w:t>
            </w:r>
          </w:p>
        </w:tc>
        <w:tc>
          <w:tcPr>
            <w:tcW w:w="709" w:type="dxa"/>
            <w:tcBorders>
              <w:top w:val="nil"/>
              <w:left w:val="nil"/>
              <w:bottom w:val="nil"/>
              <w:right w:val="nil"/>
            </w:tcBorders>
            <w:shd w:val="clear" w:color="auto" w:fill="auto"/>
            <w:noWrap/>
            <w:vAlign w:val="bottom"/>
            <w:hideMark/>
          </w:tcPr>
          <w:p w14:paraId="22DECD4B"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8767A81"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851" w:type="dxa"/>
            <w:tcBorders>
              <w:top w:val="nil"/>
              <w:left w:val="nil"/>
              <w:bottom w:val="nil"/>
              <w:right w:val="nil"/>
            </w:tcBorders>
            <w:shd w:val="clear" w:color="auto" w:fill="auto"/>
            <w:noWrap/>
            <w:vAlign w:val="bottom"/>
            <w:hideMark/>
          </w:tcPr>
          <w:p w14:paraId="544692E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327ECBA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55701A2"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5E68064"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6D83C51" w14:textId="77777777" w:rsidR="00D86847" w:rsidRPr="00DA7AD1" w:rsidRDefault="00D86847" w:rsidP="00D86847">
            <w:pPr>
              <w:rPr>
                <w:rFonts w:ascii="Calibri" w:hAnsi="Calibri" w:cs="Calibri"/>
                <w:color w:val="000000"/>
              </w:rPr>
            </w:pPr>
          </w:p>
        </w:tc>
      </w:tr>
      <w:tr w:rsidR="00D86847" w:rsidRPr="00DA7AD1" w14:paraId="2FB228D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7E3F5B" w14:textId="54D04017" w:rsidR="00D86847" w:rsidRPr="00DA7AD1" w:rsidRDefault="00D86847" w:rsidP="00D86847">
            <w:pPr>
              <w:rPr>
                <w:rFonts w:ascii="Calibri" w:hAnsi="Calibri" w:cs="Calibri"/>
                <w:color w:val="000000"/>
              </w:rPr>
            </w:pPr>
            <w:proofErr w:type="spellStart"/>
            <w:r>
              <w:rPr>
                <w:rFonts w:ascii="Calibri" w:hAnsi="Calibri" w:cs="Calibri"/>
                <w:color w:val="000000"/>
              </w:rPr>
              <w:t>Assertiveness</w:t>
            </w:r>
            <w:proofErr w:type="spellEnd"/>
          </w:p>
        </w:tc>
        <w:tc>
          <w:tcPr>
            <w:tcW w:w="993" w:type="dxa"/>
            <w:tcBorders>
              <w:top w:val="nil"/>
              <w:left w:val="nil"/>
              <w:bottom w:val="nil"/>
              <w:right w:val="nil"/>
            </w:tcBorders>
            <w:shd w:val="clear" w:color="auto" w:fill="auto"/>
            <w:noWrap/>
            <w:vAlign w:val="bottom"/>
            <w:hideMark/>
          </w:tcPr>
          <w:p w14:paraId="73516C7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992" w:type="dxa"/>
            <w:tcBorders>
              <w:top w:val="nil"/>
              <w:left w:val="nil"/>
              <w:bottom w:val="nil"/>
              <w:right w:val="nil"/>
            </w:tcBorders>
            <w:shd w:val="clear" w:color="auto" w:fill="auto"/>
            <w:noWrap/>
            <w:vAlign w:val="bottom"/>
            <w:hideMark/>
          </w:tcPr>
          <w:p w14:paraId="15BBB68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709" w:type="dxa"/>
            <w:tcBorders>
              <w:top w:val="nil"/>
              <w:left w:val="nil"/>
              <w:bottom w:val="nil"/>
              <w:right w:val="nil"/>
            </w:tcBorders>
            <w:shd w:val="clear" w:color="auto" w:fill="auto"/>
            <w:noWrap/>
            <w:vAlign w:val="bottom"/>
            <w:hideMark/>
          </w:tcPr>
          <w:p w14:paraId="5D55243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65C2CE6"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9334D3F"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00272DA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A0E0E6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084B062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413880CE" w14:textId="77777777" w:rsidR="00D86847" w:rsidRPr="00DA7AD1" w:rsidRDefault="00D86847" w:rsidP="00D86847">
            <w:pPr>
              <w:rPr>
                <w:rFonts w:ascii="Calibri" w:hAnsi="Calibri" w:cs="Calibri"/>
                <w:color w:val="000000"/>
              </w:rPr>
            </w:pPr>
          </w:p>
        </w:tc>
      </w:tr>
      <w:tr w:rsidR="00D86847" w:rsidRPr="00DA7AD1" w14:paraId="03D7929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D691CE" w14:textId="7382BAE4" w:rsidR="00D86847" w:rsidRPr="00DA7AD1" w:rsidRDefault="00D86847" w:rsidP="00D86847">
            <w:pPr>
              <w:rPr>
                <w:rFonts w:ascii="Calibri" w:hAnsi="Calibri" w:cs="Calibri"/>
                <w:color w:val="000000"/>
              </w:rPr>
            </w:pPr>
            <w:proofErr w:type="spellStart"/>
            <w:r>
              <w:rPr>
                <w:rFonts w:ascii="Calibri" w:hAnsi="Calibri" w:cs="Calibri"/>
                <w:color w:val="000000"/>
              </w:rPr>
              <w:lastRenderedPageBreak/>
              <w:t>Communicativeness</w:t>
            </w:r>
            <w:proofErr w:type="spellEnd"/>
          </w:p>
        </w:tc>
        <w:tc>
          <w:tcPr>
            <w:tcW w:w="993" w:type="dxa"/>
            <w:tcBorders>
              <w:top w:val="nil"/>
              <w:left w:val="nil"/>
              <w:bottom w:val="nil"/>
              <w:right w:val="nil"/>
            </w:tcBorders>
            <w:shd w:val="clear" w:color="auto" w:fill="auto"/>
            <w:noWrap/>
            <w:vAlign w:val="bottom"/>
            <w:hideMark/>
          </w:tcPr>
          <w:p w14:paraId="22A47EC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1BA0643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330A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D4653E8"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7E0DC09F"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0A38FB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CC63EC"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352240DB"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7E1EEF84" w14:textId="77777777" w:rsidR="00D86847" w:rsidRPr="00DA7AD1" w:rsidRDefault="00D86847" w:rsidP="00D86847">
            <w:pPr>
              <w:rPr>
                <w:rFonts w:ascii="Calibri" w:hAnsi="Calibri" w:cs="Calibri"/>
                <w:color w:val="000000"/>
              </w:rPr>
            </w:pPr>
          </w:p>
        </w:tc>
      </w:tr>
      <w:tr w:rsidR="00D86847" w:rsidRPr="00DA7AD1" w14:paraId="49A578D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0206E06" w14:textId="760D1323" w:rsidR="00D86847" w:rsidRPr="00DA7AD1" w:rsidRDefault="00D86847" w:rsidP="00D86847">
            <w:pPr>
              <w:rPr>
                <w:rFonts w:ascii="Calibri" w:hAnsi="Calibri" w:cs="Calibri"/>
                <w:color w:val="000000"/>
              </w:rPr>
            </w:pPr>
            <w:r>
              <w:rPr>
                <w:rFonts w:ascii="Calibri" w:hAnsi="Calibri" w:cs="Calibri"/>
                <w:color w:val="000000"/>
              </w:rPr>
              <w:t>Humor</w:t>
            </w:r>
          </w:p>
        </w:tc>
        <w:tc>
          <w:tcPr>
            <w:tcW w:w="993" w:type="dxa"/>
            <w:tcBorders>
              <w:top w:val="nil"/>
              <w:left w:val="nil"/>
              <w:bottom w:val="nil"/>
              <w:right w:val="nil"/>
            </w:tcBorders>
            <w:shd w:val="clear" w:color="auto" w:fill="auto"/>
            <w:noWrap/>
            <w:vAlign w:val="bottom"/>
            <w:hideMark/>
          </w:tcPr>
          <w:p w14:paraId="77299F9D"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12DD362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4B7388F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A59CC1D"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51F83559"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3A2375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D68CEC4"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38D11FC0"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49BBEDFA" w14:textId="77777777" w:rsidR="00D86847" w:rsidRPr="00DA7AD1" w:rsidRDefault="00D86847" w:rsidP="00D86847">
            <w:pPr>
              <w:rPr>
                <w:rFonts w:ascii="Calibri" w:hAnsi="Calibri" w:cs="Calibri"/>
                <w:color w:val="000000"/>
              </w:rPr>
            </w:pPr>
          </w:p>
        </w:tc>
      </w:tr>
      <w:tr w:rsidR="00D86847" w:rsidRPr="00DA7AD1" w14:paraId="4E3A921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C1ACFD0" w14:textId="281093FC" w:rsidR="00D86847" w:rsidRPr="00DA7AD1" w:rsidRDefault="00D86847" w:rsidP="00D86847">
            <w:pPr>
              <w:rPr>
                <w:rFonts w:ascii="Calibri" w:hAnsi="Calibri" w:cs="Calibri"/>
                <w:color w:val="000000"/>
              </w:rPr>
            </w:pPr>
            <w:proofErr w:type="spellStart"/>
            <w:r>
              <w:rPr>
                <w:rFonts w:ascii="Calibri" w:hAnsi="Calibri" w:cs="Calibri"/>
                <w:color w:val="000000"/>
              </w:rPr>
              <w:t>Gregariousness</w:t>
            </w:r>
            <w:proofErr w:type="spellEnd"/>
          </w:p>
        </w:tc>
        <w:tc>
          <w:tcPr>
            <w:tcW w:w="993" w:type="dxa"/>
            <w:tcBorders>
              <w:top w:val="nil"/>
              <w:left w:val="nil"/>
              <w:bottom w:val="nil"/>
              <w:right w:val="nil"/>
            </w:tcBorders>
            <w:shd w:val="clear" w:color="auto" w:fill="auto"/>
            <w:noWrap/>
            <w:vAlign w:val="bottom"/>
            <w:hideMark/>
          </w:tcPr>
          <w:p w14:paraId="5BA33F5E"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20C2ED11"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10D589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80BF079"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6D15092D"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B0DFE8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2EA728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739B8E8"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C7777C5" w14:textId="77777777" w:rsidR="00D86847" w:rsidRPr="00DA7AD1" w:rsidRDefault="00D86847" w:rsidP="00D86847">
            <w:pPr>
              <w:rPr>
                <w:rFonts w:ascii="Calibri" w:hAnsi="Calibri" w:cs="Calibri"/>
                <w:color w:val="000000"/>
              </w:rPr>
            </w:pPr>
          </w:p>
        </w:tc>
      </w:tr>
      <w:tr w:rsidR="00D86847" w:rsidRPr="00DA7AD1" w14:paraId="5110071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80347CF" w14:textId="5C5D3266" w:rsidR="00D86847" w:rsidRPr="00DA7AD1" w:rsidRDefault="00D86847" w:rsidP="00D86847">
            <w:pPr>
              <w:rPr>
                <w:rFonts w:ascii="Calibri" w:hAnsi="Calibri" w:cs="Calibri"/>
                <w:color w:val="000000"/>
              </w:rPr>
            </w:pPr>
            <w:proofErr w:type="spellStart"/>
            <w:r>
              <w:rPr>
                <w:rFonts w:ascii="Calibri" w:hAnsi="Calibri" w:cs="Calibri"/>
                <w:color w:val="000000"/>
              </w:rPr>
              <w:t>Energy</w:t>
            </w:r>
            <w:proofErr w:type="spellEnd"/>
          </w:p>
        </w:tc>
        <w:tc>
          <w:tcPr>
            <w:tcW w:w="993" w:type="dxa"/>
            <w:tcBorders>
              <w:top w:val="nil"/>
              <w:left w:val="nil"/>
              <w:bottom w:val="nil"/>
              <w:right w:val="nil"/>
            </w:tcBorders>
            <w:shd w:val="clear" w:color="auto" w:fill="auto"/>
            <w:noWrap/>
            <w:vAlign w:val="bottom"/>
            <w:hideMark/>
          </w:tcPr>
          <w:p w14:paraId="70E6A6AA"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B94B91F"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38ED3B8"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95D248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54FB527"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2DE545AD"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FAED3A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00FA1399"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566" w:type="dxa"/>
            <w:tcBorders>
              <w:top w:val="nil"/>
              <w:left w:val="nil"/>
              <w:bottom w:val="nil"/>
              <w:right w:val="nil"/>
            </w:tcBorders>
            <w:shd w:val="clear" w:color="auto" w:fill="auto"/>
            <w:noWrap/>
            <w:vAlign w:val="bottom"/>
            <w:hideMark/>
          </w:tcPr>
          <w:p w14:paraId="14CE7FF8" w14:textId="77777777" w:rsidR="00D86847" w:rsidRPr="00DA7AD1" w:rsidRDefault="00D86847" w:rsidP="00D86847">
            <w:pPr>
              <w:rPr>
                <w:rFonts w:ascii="Calibri" w:hAnsi="Calibri" w:cs="Calibri"/>
                <w:color w:val="000000"/>
              </w:rPr>
            </w:pPr>
          </w:p>
        </w:tc>
      </w:tr>
      <w:tr w:rsidR="00D86847" w:rsidRPr="00DA7AD1" w14:paraId="11981A6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EECD2F5" w14:textId="77777777" w:rsidR="00DA7AD1" w:rsidRPr="00DA7AD1" w:rsidRDefault="00DA7AD1" w:rsidP="00DA7AD1">
            <w:pPr>
              <w:rPr>
                <w:rFonts w:ascii="Calibri" w:hAnsi="Calibri" w:cs="Calibri"/>
                <w:color w:val="000000"/>
              </w:rPr>
            </w:pPr>
            <w:r w:rsidRPr="00DA7AD1">
              <w:rPr>
                <w:rFonts w:ascii="Calibri" w:hAnsi="Calibri" w:cs="Calibri"/>
                <w:color w:val="000000"/>
              </w:rPr>
              <w:t>E</w:t>
            </w:r>
          </w:p>
        </w:tc>
        <w:tc>
          <w:tcPr>
            <w:tcW w:w="993" w:type="dxa"/>
            <w:tcBorders>
              <w:top w:val="nil"/>
              <w:left w:val="nil"/>
              <w:bottom w:val="nil"/>
              <w:right w:val="nil"/>
            </w:tcBorders>
            <w:shd w:val="clear" w:color="auto" w:fill="auto"/>
            <w:noWrap/>
            <w:vAlign w:val="bottom"/>
            <w:hideMark/>
          </w:tcPr>
          <w:p w14:paraId="0E66022F" w14:textId="77777777" w:rsidR="00DA7AD1" w:rsidRPr="00DA7AD1" w:rsidRDefault="00DA7AD1" w:rsidP="00DA7AD1">
            <w:pPr>
              <w:rPr>
                <w:rFonts w:ascii="Calibri" w:hAnsi="Calibri" w:cs="Calibri"/>
                <w:color w:val="000000"/>
              </w:rPr>
            </w:pPr>
            <w:r w:rsidRPr="00DA7AD1">
              <w:rPr>
                <w:rFonts w:ascii="Calibri" w:hAnsi="Calibri" w:cs="Calibri"/>
                <w:color w:val="000000"/>
              </w:rPr>
              <w:t>0.33</w:t>
            </w:r>
          </w:p>
        </w:tc>
        <w:tc>
          <w:tcPr>
            <w:tcW w:w="992" w:type="dxa"/>
            <w:tcBorders>
              <w:top w:val="nil"/>
              <w:left w:val="nil"/>
              <w:bottom w:val="nil"/>
              <w:right w:val="nil"/>
            </w:tcBorders>
            <w:shd w:val="clear" w:color="auto" w:fill="auto"/>
            <w:noWrap/>
            <w:vAlign w:val="bottom"/>
            <w:hideMark/>
          </w:tcPr>
          <w:p w14:paraId="7A6E7E3E"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7BEE011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708" w:type="dxa"/>
            <w:tcBorders>
              <w:top w:val="nil"/>
              <w:left w:val="nil"/>
              <w:bottom w:val="nil"/>
              <w:right w:val="nil"/>
            </w:tcBorders>
            <w:shd w:val="clear" w:color="auto" w:fill="auto"/>
            <w:noWrap/>
            <w:vAlign w:val="bottom"/>
            <w:hideMark/>
          </w:tcPr>
          <w:p w14:paraId="74ABBC6B"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7B684D94"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B751894"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0" w:type="dxa"/>
            <w:tcBorders>
              <w:top w:val="nil"/>
              <w:left w:val="nil"/>
              <w:bottom w:val="nil"/>
              <w:right w:val="nil"/>
            </w:tcBorders>
            <w:shd w:val="clear" w:color="auto" w:fill="auto"/>
            <w:noWrap/>
            <w:vAlign w:val="bottom"/>
            <w:hideMark/>
          </w:tcPr>
          <w:p w14:paraId="063CE2AD"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68D0B28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95DE147"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r>
      <w:tr w:rsidR="00D86847" w:rsidRPr="00DA7AD1" w14:paraId="6B25DF24"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33A2223" w14:textId="18554C3D" w:rsidR="00D86847" w:rsidRPr="00DA7AD1" w:rsidRDefault="00D86847" w:rsidP="00D86847">
            <w:pPr>
              <w:rPr>
                <w:rFonts w:ascii="Calibri" w:hAnsi="Calibri" w:cs="Calibri"/>
                <w:color w:val="000000"/>
              </w:rPr>
            </w:pPr>
            <w:proofErr w:type="spellStart"/>
            <w:r>
              <w:rPr>
                <w:rFonts w:ascii="Calibri" w:hAnsi="Calibri" w:cs="Calibri"/>
                <w:color w:val="000000"/>
              </w:rPr>
              <w:t>Equanimity</w:t>
            </w:r>
            <w:proofErr w:type="spellEnd"/>
          </w:p>
        </w:tc>
        <w:tc>
          <w:tcPr>
            <w:tcW w:w="993" w:type="dxa"/>
            <w:tcBorders>
              <w:top w:val="nil"/>
              <w:left w:val="nil"/>
              <w:bottom w:val="nil"/>
              <w:right w:val="nil"/>
            </w:tcBorders>
            <w:shd w:val="clear" w:color="auto" w:fill="auto"/>
            <w:noWrap/>
            <w:vAlign w:val="bottom"/>
            <w:hideMark/>
          </w:tcPr>
          <w:p w14:paraId="383C531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7D4C399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0499A4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2B0D349"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64A67F98"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279CF8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61B1155"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0774D8E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28B2B711" w14:textId="77777777" w:rsidR="00D86847" w:rsidRPr="00DA7AD1" w:rsidRDefault="00D86847" w:rsidP="00D86847">
            <w:pPr>
              <w:rPr>
                <w:rFonts w:ascii="Calibri" w:hAnsi="Calibri" w:cs="Calibri"/>
                <w:color w:val="000000"/>
              </w:rPr>
            </w:pPr>
          </w:p>
        </w:tc>
      </w:tr>
      <w:tr w:rsidR="00D86847" w:rsidRPr="00DA7AD1" w14:paraId="4B08FC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6EE4B5C" w14:textId="7749CEF0" w:rsidR="00D86847" w:rsidRPr="00DA7AD1" w:rsidRDefault="00D86847" w:rsidP="00D86847">
            <w:pPr>
              <w:rPr>
                <w:rFonts w:ascii="Calibri" w:hAnsi="Calibri" w:cs="Calibri"/>
                <w:color w:val="000000"/>
              </w:rPr>
            </w:pPr>
            <w:proofErr w:type="spellStart"/>
            <w:r>
              <w:rPr>
                <w:rFonts w:ascii="Calibri" w:hAnsi="Calibri" w:cs="Calibri"/>
                <w:color w:val="000000"/>
              </w:rPr>
              <w:t>Depression</w:t>
            </w:r>
            <w:proofErr w:type="spellEnd"/>
          </w:p>
        </w:tc>
        <w:tc>
          <w:tcPr>
            <w:tcW w:w="993" w:type="dxa"/>
            <w:tcBorders>
              <w:top w:val="nil"/>
              <w:left w:val="nil"/>
              <w:bottom w:val="nil"/>
              <w:right w:val="nil"/>
            </w:tcBorders>
            <w:shd w:val="clear" w:color="auto" w:fill="auto"/>
            <w:noWrap/>
            <w:vAlign w:val="bottom"/>
            <w:hideMark/>
          </w:tcPr>
          <w:p w14:paraId="1ECDD5D3" w14:textId="77777777" w:rsidR="00D86847" w:rsidRPr="00DA7AD1" w:rsidRDefault="00D86847" w:rsidP="00D86847">
            <w:pPr>
              <w:rPr>
                <w:rFonts w:ascii="Calibri" w:hAnsi="Calibri" w:cs="Calibri"/>
                <w:color w:val="000000"/>
              </w:rPr>
            </w:pPr>
            <w:r w:rsidRPr="00DA7AD1">
              <w:rPr>
                <w:rFonts w:ascii="Calibri" w:hAnsi="Calibri" w:cs="Calibri"/>
                <w:color w:val="000000"/>
              </w:rPr>
              <w:t>0.53</w:t>
            </w:r>
          </w:p>
        </w:tc>
        <w:tc>
          <w:tcPr>
            <w:tcW w:w="992" w:type="dxa"/>
            <w:tcBorders>
              <w:top w:val="nil"/>
              <w:left w:val="nil"/>
              <w:bottom w:val="nil"/>
              <w:right w:val="nil"/>
            </w:tcBorders>
            <w:shd w:val="clear" w:color="auto" w:fill="auto"/>
            <w:noWrap/>
            <w:vAlign w:val="bottom"/>
            <w:hideMark/>
          </w:tcPr>
          <w:p w14:paraId="5990CB7B" w14:textId="77777777" w:rsidR="00D86847" w:rsidRPr="00DA7AD1" w:rsidRDefault="00D86847" w:rsidP="00D86847">
            <w:pPr>
              <w:rPr>
                <w:rFonts w:ascii="Calibri" w:hAnsi="Calibri" w:cs="Calibri"/>
                <w:color w:val="000000"/>
              </w:rPr>
            </w:pPr>
            <w:r w:rsidRPr="00DA7AD1">
              <w:rPr>
                <w:rFonts w:ascii="Calibri" w:hAnsi="Calibri" w:cs="Calibri"/>
                <w:color w:val="000000"/>
              </w:rPr>
              <w:t>0.59*</w:t>
            </w:r>
          </w:p>
        </w:tc>
        <w:tc>
          <w:tcPr>
            <w:tcW w:w="709" w:type="dxa"/>
            <w:tcBorders>
              <w:top w:val="nil"/>
              <w:left w:val="nil"/>
              <w:bottom w:val="nil"/>
              <w:right w:val="nil"/>
            </w:tcBorders>
            <w:shd w:val="clear" w:color="auto" w:fill="auto"/>
            <w:noWrap/>
            <w:vAlign w:val="bottom"/>
            <w:hideMark/>
          </w:tcPr>
          <w:p w14:paraId="22DB00A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6B3FD40"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2075526"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E5A3E8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71EF7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19FC5FAC"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1EF0E6C" w14:textId="77777777" w:rsidR="00D86847" w:rsidRPr="00DA7AD1" w:rsidRDefault="00D86847" w:rsidP="00D86847">
            <w:pPr>
              <w:rPr>
                <w:rFonts w:ascii="Calibri" w:hAnsi="Calibri" w:cs="Calibri"/>
                <w:color w:val="000000"/>
              </w:rPr>
            </w:pPr>
          </w:p>
        </w:tc>
      </w:tr>
      <w:tr w:rsidR="00D86847" w:rsidRPr="00DA7AD1" w14:paraId="364AE76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2DB288D" w14:textId="15C3E7AB" w:rsidR="00D86847" w:rsidRPr="00DA7AD1" w:rsidRDefault="00D86847" w:rsidP="00D86847">
            <w:pPr>
              <w:rPr>
                <w:rFonts w:ascii="Calibri" w:hAnsi="Calibri" w:cs="Calibri"/>
                <w:color w:val="000000"/>
              </w:rPr>
            </w:pPr>
            <w:proofErr w:type="spellStart"/>
            <w:r>
              <w:rPr>
                <w:rFonts w:ascii="Calibri" w:hAnsi="Calibri" w:cs="Calibri"/>
                <w:color w:val="000000"/>
              </w:rPr>
              <w:t>Anxiety</w:t>
            </w:r>
            <w:proofErr w:type="spellEnd"/>
          </w:p>
        </w:tc>
        <w:tc>
          <w:tcPr>
            <w:tcW w:w="993" w:type="dxa"/>
            <w:tcBorders>
              <w:top w:val="nil"/>
              <w:left w:val="nil"/>
              <w:bottom w:val="nil"/>
              <w:right w:val="nil"/>
            </w:tcBorders>
            <w:shd w:val="clear" w:color="auto" w:fill="auto"/>
            <w:noWrap/>
            <w:vAlign w:val="bottom"/>
            <w:hideMark/>
          </w:tcPr>
          <w:p w14:paraId="1CAF72A8" w14:textId="77777777" w:rsidR="00D86847" w:rsidRPr="00DA7AD1" w:rsidRDefault="00D86847" w:rsidP="00D86847">
            <w:pPr>
              <w:rPr>
                <w:rFonts w:ascii="Calibri" w:hAnsi="Calibri" w:cs="Calibri"/>
                <w:color w:val="000000"/>
              </w:rPr>
            </w:pPr>
            <w:r w:rsidRPr="00DA7AD1">
              <w:rPr>
                <w:rFonts w:ascii="Calibri" w:hAnsi="Calibri" w:cs="Calibri"/>
                <w:color w:val="000000"/>
              </w:rPr>
              <w:t>0.31</w:t>
            </w:r>
          </w:p>
        </w:tc>
        <w:tc>
          <w:tcPr>
            <w:tcW w:w="992" w:type="dxa"/>
            <w:tcBorders>
              <w:top w:val="nil"/>
              <w:left w:val="nil"/>
              <w:bottom w:val="nil"/>
              <w:right w:val="nil"/>
            </w:tcBorders>
            <w:shd w:val="clear" w:color="auto" w:fill="auto"/>
            <w:noWrap/>
            <w:vAlign w:val="bottom"/>
            <w:hideMark/>
          </w:tcPr>
          <w:p w14:paraId="11CE4AC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3218AE6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7E6AE81"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67C180F3"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57CCE4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00372FC"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3F5EEF8F"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38191BC3" w14:textId="77777777" w:rsidR="00D86847" w:rsidRPr="00DA7AD1" w:rsidRDefault="00D86847" w:rsidP="00D86847">
            <w:pPr>
              <w:rPr>
                <w:rFonts w:ascii="Calibri" w:hAnsi="Calibri" w:cs="Calibri"/>
                <w:color w:val="000000"/>
              </w:rPr>
            </w:pPr>
          </w:p>
        </w:tc>
      </w:tr>
      <w:tr w:rsidR="00D86847" w:rsidRPr="00DA7AD1" w14:paraId="2212859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29B180D" w14:textId="3B1ED559" w:rsidR="00D86847" w:rsidRPr="00DA7AD1" w:rsidRDefault="00D86847" w:rsidP="00D86847">
            <w:pPr>
              <w:rPr>
                <w:rFonts w:ascii="Calibri" w:hAnsi="Calibri" w:cs="Calibri"/>
                <w:color w:val="000000"/>
              </w:rPr>
            </w:pPr>
            <w:r>
              <w:rPr>
                <w:rFonts w:ascii="Calibri" w:hAnsi="Calibri" w:cs="Calibri"/>
                <w:color w:val="000000"/>
              </w:rPr>
              <w:t>Mental balance</w:t>
            </w:r>
          </w:p>
        </w:tc>
        <w:tc>
          <w:tcPr>
            <w:tcW w:w="993" w:type="dxa"/>
            <w:tcBorders>
              <w:top w:val="nil"/>
              <w:left w:val="nil"/>
              <w:bottom w:val="nil"/>
              <w:right w:val="nil"/>
            </w:tcBorders>
            <w:shd w:val="clear" w:color="auto" w:fill="auto"/>
            <w:noWrap/>
            <w:vAlign w:val="bottom"/>
            <w:hideMark/>
          </w:tcPr>
          <w:p w14:paraId="42F6A42E"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0B05637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68C65FA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D50F1E0"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851" w:type="dxa"/>
            <w:tcBorders>
              <w:top w:val="nil"/>
              <w:left w:val="nil"/>
              <w:bottom w:val="nil"/>
              <w:right w:val="nil"/>
            </w:tcBorders>
            <w:shd w:val="clear" w:color="auto" w:fill="auto"/>
            <w:noWrap/>
            <w:vAlign w:val="bottom"/>
            <w:hideMark/>
          </w:tcPr>
          <w:p w14:paraId="455BCE2E"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6E019034"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05FE6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79FD4AEB"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5301E99" w14:textId="77777777" w:rsidR="00D86847" w:rsidRPr="00DA7AD1" w:rsidRDefault="00D86847" w:rsidP="00D86847">
            <w:pPr>
              <w:rPr>
                <w:rFonts w:ascii="Calibri" w:hAnsi="Calibri" w:cs="Calibri"/>
                <w:color w:val="000000"/>
              </w:rPr>
            </w:pPr>
          </w:p>
        </w:tc>
      </w:tr>
      <w:tr w:rsidR="00D86847" w:rsidRPr="00DA7AD1" w14:paraId="4B7D028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B9A9EB5" w14:textId="6EE28587" w:rsidR="00D86847" w:rsidRPr="00DA7AD1" w:rsidRDefault="00D86847" w:rsidP="00D86847">
            <w:pPr>
              <w:rPr>
                <w:rFonts w:ascii="Calibri" w:hAnsi="Calibri" w:cs="Calibri"/>
                <w:color w:val="000000"/>
              </w:rPr>
            </w:pPr>
            <w:proofErr w:type="spellStart"/>
            <w:r>
              <w:rPr>
                <w:rFonts w:ascii="Calibri" w:hAnsi="Calibri" w:cs="Calibri"/>
                <w:color w:val="000000"/>
              </w:rPr>
              <w:t>Lethargia</w:t>
            </w:r>
            <w:proofErr w:type="spellEnd"/>
          </w:p>
        </w:tc>
        <w:tc>
          <w:tcPr>
            <w:tcW w:w="993" w:type="dxa"/>
            <w:tcBorders>
              <w:top w:val="nil"/>
              <w:left w:val="nil"/>
              <w:bottom w:val="nil"/>
              <w:right w:val="nil"/>
            </w:tcBorders>
            <w:shd w:val="clear" w:color="auto" w:fill="auto"/>
            <w:noWrap/>
            <w:vAlign w:val="bottom"/>
            <w:hideMark/>
          </w:tcPr>
          <w:p w14:paraId="35C764D7"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3D7452D7"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329AC791"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6E6C7C2"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851" w:type="dxa"/>
            <w:tcBorders>
              <w:top w:val="nil"/>
              <w:left w:val="nil"/>
              <w:bottom w:val="nil"/>
              <w:right w:val="nil"/>
            </w:tcBorders>
            <w:shd w:val="clear" w:color="auto" w:fill="auto"/>
            <w:noWrap/>
            <w:vAlign w:val="bottom"/>
            <w:hideMark/>
          </w:tcPr>
          <w:p w14:paraId="0E8A65A0"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6E69603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B9E48C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625A9F6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9A14912" w14:textId="77777777" w:rsidR="00D86847" w:rsidRPr="00DA7AD1" w:rsidRDefault="00D86847" w:rsidP="00D86847">
            <w:pPr>
              <w:rPr>
                <w:rFonts w:ascii="Calibri" w:hAnsi="Calibri" w:cs="Calibri"/>
                <w:color w:val="000000"/>
              </w:rPr>
            </w:pPr>
          </w:p>
        </w:tc>
      </w:tr>
      <w:tr w:rsidR="00D86847" w:rsidRPr="00DA7AD1" w14:paraId="61B883F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5D76185" w14:textId="682D6A4A" w:rsidR="00D86847" w:rsidRPr="00DA7AD1" w:rsidRDefault="00D86847" w:rsidP="00D86847">
            <w:pPr>
              <w:rPr>
                <w:rFonts w:ascii="Calibri" w:hAnsi="Calibri" w:cs="Calibri"/>
                <w:color w:val="000000"/>
              </w:rPr>
            </w:pPr>
            <w:proofErr w:type="spellStart"/>
            <w:r>
              <w:rPr>
                <w:rFonts w:ascii="Calibri" w:hAnsi="Calibri" w:cs="Calibri"/>
                <w:color w:val="000000"/>
              </w:rPr>
              <w:t>Sentimentality</w:t>
            </w:r>
            <w:proofErr w:type="spellEnd"/>
          </w:p>
        </w:tc>
        <w:tc>
          <w:tcPr>
            <w:tcW w:w="993" w:type="dxa"/>
            <w:tcBorders>
              <w:top w:val="nil"/>
              <w:left w:val="nil"/>
              <w:bottom w:val="nil"/>
              <w:right w:val="nil"/>
            </w:tcBorders>
            <w:shd w:val="clear" w:color="auto" w:fill="auto"/>
            <w:noWrap/>
            <w:vAlign w:val="bottom"/>
            <w:hideMark/>
          </w:tcPr>
          <w:p w14:paraId="02C4E8B0"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71F525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67A6F2D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ABE9F56"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DF3646F"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D60C70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4BFFCB5"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644E8930"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33F1E3AF" w14:textId="77777777" w:rsidR="00D86847" w:rsidRPr="00DA7AD1" w:rsidRDefault="00D86847" w:rsidP="00D86847">
            <w:pPr>
              <w:rPr>
                <w:rFonts w:ascii="Calibri" w:hAnsi="Calibri" w:cs="Calibri"/>
                <w:color w:val="000000"/>
              </w:rPr>
            </w:pPr>
          </w:p>
        </w:tc>
      </w:tr>
      <w:tr w:rsidR="00D86847" w:rsidRPr="00DA7AD1" w14:paraId="2868272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EABA14C" w14:textId="6C928748" w:rsidR="00D86847" w:rsidRPr="00DA7AD1" w:rsidRDefault="00D86847" w:rsidP="00D86847">
            <w:pPr>
              <w:rPr>
                <w:rFonts w:ascii="Calibri" w:hAnsi="Calibri" w:cs="Calibri"/>
                <w:color w:val="000000"/>
              </w:rPr>
            </w:pPr>
            <w:proofErr w:type="spellStart"/>
            <w:r>
              <w:rPr>
                <w:rFonts w:ascii="Calibri" w:hAnsi="Calibri" w:cs="Calibri"/>
                <w:color w:val="000000"/>
              </w:rPr>
              <w:t>Self-attention</w:t>
            </w:r>
            <w:proofErr w:type="spellEnd"/>
          </w:p>
        </w:tc>
        <w:tc>
          <w:tcPr>
            <w:tcW w:w="993" w:type="dxa"/>
            <w:tcBorders>
              <w:top w:val="nil"/>
              <w:left w:val="nil"/>
              <w:bottom w:val="nil"/>
              <w:right w:val="nil"/>
            </w:tcBorders>
            <w:shd w:val="clear" w:color="auto" w:fill="auto"/>
            <w:noWrap/>
            <w:vAlign w:val="bottom"/>
            <w:hideMark/>
          </w:tcPr>
          <w:p w14:paraId="1957E982"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5CA5CE4E"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5FE87B5F"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4D1E112"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2B46F85"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4F26FE1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5EE516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42B4E9B4"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17674B6" w14:textId="77777777" w:rsidR="00D86847" w:rsidRPr="00DA7AD1" w:rsidRDefault="00D86847" w:rsidP="00D86847">
            <w:pPr>
              <w:rPr>
                <w:rFonts w:ascii="Calibri" w:hAnsi="Calibri" w:cs="Calibri"/>
                <w:color w:val="000000"/>
              </w:rPr>
            </w:pPr>
          </w:p>
        </w:tc>
      </w:tr>
      <w:tr w:rsidR="00D86847" w:rsidRPr="00DA7AD1" w14:paraId="0F9EF4F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EB41156" w14:textId="77777777" w:rsidR="00DA7AD1" w:rsidRPr="00DA7AD1" w:rsidRDefault="00DA7AD1" w:rsidP="00DA7AD1">
            <w:pPr>
              <w:rPr>
                <w:rFonts w:ascii="Calibri" w:hAnsi="Calibri" w:cs="Calibri"/>
                <w:color w:val="000000"/>
              </w:rPr>
            </w:pPr>
            <w:r w:rsidRPr="00DA7AD1">
              <w:rPr>
                <w:rFonts w:ascii="Calibri" w:hAnsi="Calibri" w:cs="Calibri"/>
                <w:color w:val="000000"/>
              </w:rPr>
              <w:t>N</w:t>
            </w:r>
          </w:p>
        </w:tc>
        <w:tc>
          <w:tcPr>
            <w:tcW w:w="993" w:type="dxa"/>
            <w:tcBorders>
              <w:top w:val="nil"/>
              <w:left w:val="nil"/>
              <w:bottom w:val="nil"/>
              <w:right w:val="nil"/>
            </w:tcBorders>
            <w:shd w:val="clear" w:color="auto" w:fill="auto"/>
            <w:noWrap/>
            <w:vAlign w:val="bottom"/>
            <w:hideMark/>
          </w:tcPr>
          <w:p w14:paraId="1D09F33A" w14:textId="77777777" w:rsidR="00DA7AD1" w:rsidRPr="00DA7AD1" w:rsidRDefault="00DA7AD1" w:rsidP="00DA7AD1">
            <w:pPr>
              <w:rPr>
                <w:rFonts w:ascii="Calibri" w:hAnsi="Calibri" w:cs="Calibri"/>
                <w:color w:val="000000"/>
              </w:rPr>
            </w:pPr>
            <w:r w:rsidRPr="00DA7AD1">
              <w:rPr>
                <w:rFonts w:ascii="Calibri" w:hAnsi="Calibri" w:cs="Calibri"/>
                <w:color w:val="000000"/>
              </w:rPr>
              <w:t>0.4</w:t>
            </w:r>
          </w:p>
        </w:tc>
        <w:tc>
          <w:tcPr>
            <w:tcW w:w="992" w:type="dxa"/>
            <w:tcBorders>
              <w:top w:val="nil"/>
              <w:left w:val="nil"/>
              <w:bottom w:val="nil"/>
              <w:right w:val="nil"/>
            </w:tcBorders>
            <w:shd w:val="clear" w:color="auto" w:fill="auto"/>
            <w:noWrap/>
            <w:vAlign w:val="bottom"/>
            <w:hideMark/>
          </w:tcPr>
          <w:p w14:paraId="21C4A98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10A84F07"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708" w:type="dxa"/>
            <w:tcBorders>
              <w:top w:val="nil"/>
              <w:left w:val="nil"/>
              <w:bottom w:val="nil"/>
              <w:right w:val="nil"/>
            </w:tcBorders>
            <w:shd w:val="clear" w:color="auto" w:fill="auto"/>
            <w:noWrap/>
            <w:vAlign w:val="bottom"/>
            <w:hideMark/>
          </w:tcPr>
          <w:p w14:paraId="23EC6EC0"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0617FDC"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7772F90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850" w:type="dxa"/>
            <w:tcBorders>
              <w:top w:val="nil"/>
              <w:left w:val="nil"/>
              <w:bottom w:val="nil"/>
              <w:right w:val="nil"/>
            </w:tcBorders>
            <w:shd w:val="clear" w:color="auto" w:fill="auto"/>
            <w:noWrap/>
            <w:vAlign w:val="bottom"/>
            <w:hideMark/>
          </w:tcPr>
          <w:p w14:paraId="10C88725"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1111" w:type="dxa"/>
            <w:tcBorders>
              <w:top w:val="nil"/>
              <w:left w:val="nil"/>
              <w:bottom w:val="nil"/>
              <w:right w:val="nil"/>
            </w:tcBorders>
            <w:shd w:val="clear" w:color="auto" w:fill="auto"/>
            <w:noWrap/>
            <w:vAlign w:val="bottom"/>
            <w:hideMark/>
          </w:tcPr>
          <w:p w14:paraId="77F544D2"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75E16D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r>
      <w:tr w:rsidR="00D86847" w:rsidRPr="00DA7AD1" w14:paraId="09579D1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28B724" w14:textId="17E171F6" w:rsidR="00D86847" w:rsidRPr="00DA7AD1" w:rsidRDefault="00D86847" w:rsidP="00D86847">
            <w:pPr>
              <w:rPr>
                <w:rFonts w:ascii="Calibri" w:hAnsi="Calibri" w:cs="Calibri"/>
                <w:color w:val="000000"/>
              </w:rPr>
            </w:pPr>
            <w:proofErr w:type="spellStart"/>
            <w:r>
              <w:rPr>
                <w:rFonts w:ascii="Calibri" w:hAnsi="Calibri" w:cs="Calibri"/>
                <w:color w:val="000000"/>
              </w:rPr>
              <w:t>Creativity</w:t>
            </w:r>
            <w:proofErr w:type="spellEnd"/>
          </w:p>
        </w:tc>
        <w:tc>
          <w:tcPr>
            <w:tcW w:w="993" w:type="dxa"/>
            <w:tcBorders>
              <w:top w:val="nil"/>
              <w:left w:val="nil"/>
              <w:bottom w:val="nil"/>
              <w:right w:val="nil"/>
            </w:tcBorders>
            <w:shd w:val="clear" w:color="auto" w:fill="auto"/>
            <w:noWrap/>
            <w:vAlign w:val="bottom"/>
            <w:hideMark/>
          </w:tcPr>
          <w:p w14:paraId="1506D33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992" w:type="dxa"/>
            <w:tcBorders>
              <w:top w:val="nil"/>
              <w:left w:val="nil"/>
              <w:bottom w:val="nil"/>
              <w:right w:val="nil"/>
            </w:tcBorders>
            <w:shd w:val="clear" w:color="auto" w:fill="auto"/>
            <w:noWrap/>
            <w:vAlign w:val="bottom"/>
            <w:hideMark/>
          </w:tcPr>
          <w:p w14:paraId="41E2D255"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35ABD46E"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C0159BA"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7ADBFF4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64DCFD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D06D4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1111" w:type="dxa"/>
            <w:tcBorders>
              <w:top w:val="nil"/>
              <w:left w:val="nil"/>
              <w:bottom w:val="nil"/>
              <w:right w:val="nil"/>
            </w:tcBorders>
            <w:shd w:val="clear" w:color="auto" w:fill="auto"/>
            <w:noWrap/>
            <w:vAlign w:val="bottom"/>
            <w:hideMark/>
          </w:tcPr>
          <w:p w14:paraId="5A0F42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67E60E3" w14:textId="77777777" w:rsidR="00D86847" w:rsidRPr="00DA7AD1" w:rsidRDefault="00D86847" w:rsidP="00D86847">
            <w:pPr>
              <w:rPr>
                <w:rFonts w:ascii="Calibri" w:hAnsi="Calibri" w:cs="Calibri"/>
                <w:color w:val="000000"/>
              </w:rPr>
            </w:pPr>
          </w:p>
        </w:tc>
      </w:tr>
      <w:tr w:rsidR="00D86847" w:rsidRPr="00DA7AD1" w14:paraId="05D80C2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133214E" w14:textId="58FA0240"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993" w:type="dxa"/>
            <w:tcBorders>
              <w:top w:val="nil"/>
              <w:left w:val="nil"/>
              <w:bottom w:val="nil"/>
              <w:right w:val="nil"/>
            </w:tcBorders>
            <w:shd w:val="clear" w:color="auto" w:fill="auto"/>
            <w:noWrap/>
            <w:vAlign w:val="bottom"/>
            <w:hideMark/>
          </w:tcPr>
          <w:p w14:paraId="2191508E"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ECC194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56F3696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31FDFC6"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8D887B9"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75DB810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F29616"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75746CAE"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7A533D" w14:textId="77777777" w:rsidR="00D86847" w:rsidRPr="00DA7AD1" w:rsidRDefault="00D86847" w:rsidP="00D86847">
            <w:pPr>
              <w:rPr>
                <w:rFonts w:ascii="Calibri" w:hAnsi="Calibri" w:cs="Calibri"/>
                <w:color w:val="000000"/>
              </w:rPr>
            </w:pPr>
          </w:p>
        </w:tc>
      </w:tr>
      <w:tr w:rsidR="00D86847" w:rsidRPr="00DA7AD1" w14:paraId="2ACEB70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C55ED9C" w14:textId="349D84B6" w:rsidR="00D86847" w:rsidRPr="00DA7AD1" w:rsidRDefault="00D86847" w:rsidP="00D86847">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993" w:type="dxa"/>
            <w:tcBorders>
              <w:top w:val="nil"/>
              <w:left w:val="nil"/>
              <w:bottom w:val="nil"/>
              <w:right w:val="nil"/>
            </w:tcBorders>
            <w:shd w:val="clear" w:color="auto" w:fill="auto"/>
            <w:noWrap/>
            <w:vAlign w:val="bottom"/>
            <w:hideMark/>
          </w:tcPr>
          <w:p w14:paraId="1789462D"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0855F149"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6416353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303711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761571F6"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2FC1F3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EB8048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49337D7"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D209CD" w14:textId="77777777" w:rsidR="00D86847" w:rsidRPr="00DA7AD1" w:rsidRDefault="00D86847" w:rsidP="00D86847">
            <w:pPr>
              <w:rPr>
                <w:rFonts w:ascii="Calibri" w:hAnsi="Calibri" w:cs="Calibri"/>
                <w:color w:val="000000"/>
              </w:rPr>
            </w:pPr>
          </w:p>
        </w:tc>
      </w:tr>
      <w:tr w:rsidR="00D86847" w:rsidRPr="00DA7AD1" w14:paraId="587E3A2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7500179" w14:textId="7FF5F869" w:rsidR="00D86847" w:rsidRPr="00DA7AD1" w:rsidRDefault="00D86847" w:rsidP="00D86847">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993" w:type="dxa"/>
            <w:tcBorders>
              <w:top w:val="nil"/>
              <w:left w:val="nil"/>
              <w:bottom w:val="nil"/>
              <w:right w:val="nil"/>
            </w:tcBorders>
            <w:shd w:val="clear" w:color="auto" w:fill="auto"/>
            <w:noWrap/>
            <w:vAlign w:val="bottom"/>
            <w:hideMark/>
          </w:tcPr>
          <w:p w14:paraId="335563D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992" w:type="dxa"/>
            <w:tcBorders>
              <w:top w:val="nil"/>
              <w:left w:val="nil"/>
              <w:bottom w:val="nil"/>
              <w:right w:val="nil"/>
            </w:tcBorders>
            <w:shd w:val="clear" w:color="auto" w:fill="auto"/>
            <w:noWrap/>
            <w:vAlign w:val="bottom"/>
            <w:hideMark/>
          </w:tcPr>
          <w:p w14:paraId="6DE2E8C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3508AEF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92D656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4D978C7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566" w:type="dxa"/>
            <w:tcBorders>
              <w:top w:val="nil"/>
              <w:left w:val="nil"/>
              <w:bottom w:val="nil"/>
              <w:right w:val="nil"/>
            </w:tcBorders>
            <w:shd w:val="clear" w:color="auto" w:fill="auto"/>
            <w:noWrap/>
            <w:vAlign w:val="bottom"/>
            <w:hideMark/>
          </w:tcPr>
          <w:p w14:paraId="49F5651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34CAD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257B5D7"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9E7B100" w14:textId="77777777" w:rsidR="00D86847" w:rsidRPr="00DA7AD1" w:rsidRDefault="00D86847" w:rsidP="00D86847">
            <w:pPr>
              <w:rPr>
                <w:rFonts w:ascii="Calibri" w:hAnsi="Calibri" w:cs="Calibri"/>
                <w:color w:val="000000"/>
              </w:rPr>
            </w:pPr>
          </w:p>
        </w:tc>
      </w:tr>
      <w:tr w:rsidR="00D86847" w:rsidRPr="00DA7AD1" w14:paraId="1F524F1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8A7668" w14:textId="4FAA57AA" w:rsidR="00D86847" w:rsidRPr="00DA7AD1" w:rsidRDefault="00D86847" w:rsidP="00D86847">
            <w:pPr>
              <w:rPr>
                <w:rFonts w:ascii="Calibri" w:hAnsi="Calibri" w:cs="Calibri"/>
                <w:color w:val="000000"/>
              </w:rPr>
            </w:pPr>
            <w:proofErr w:type="spellStart"/>
            <w:r>
              <w:rPr>
                <w:rFonts w:ascii="Calibri" w:hAnsi="Calibri" w:cs="Calibri"/>
                <w:color w:val="000000"/>
              </w:rPr>
              <w:t>Aesthetics</w:t>
            </w:r>
            <w:proofErr w:type="spellEnd"/>
          </w:p>
        </w:tc>
        <w:tc>
          <w:tcPr>
            <w:tcW w:w="993" w:type="dxa"/>
            <w:tcBorders>
              <w:top w:val="nil"/>
              <w:left w:val="nil"/>
              <w:bottom w:val="nil"/>
              <w:right w:val="nil"/>
            </w:tcBorders>
            <w:shd w:val="clear" w:color="auto" w:fill="auto"/>
            <w:noWrap/>
            <w:vAlign w:val="bottom"/>
            <w:hideMark/>
          </w:tcPr>
          <w:p w14:paraId="43ED7E7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992" w:type="dxa"/>
            <w:tcBorders>
              <w:top w:val="nil"/>
              <w:left w:val="nil"/>
              <w:bottom w:val="nil"/>
              <w:right w:val="nil"/>
            </w:tcBorders>
            <w:shd w:val="clear" w:color="auto" w:fill="auto"/>
            <w:noWrap/>
            <w:vAlign w:val="bottom"/>
            <w:hideMark/>
          </w:tcPr>
          <w:p w14:paraId="0919CA3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3D6E724C"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123A5CD"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851" w:type="dxa"/>
            <w:tcBorders>
              <w:top w:val="nil"/>
              <w:left w:val="nil"/>
              <w:bottom w:val="nil"/>
              <w:right w:val="nil"/>
            </w:tcBorders>
            <w:shd w:val="clear" w:color="auto" w:fill="auto"/>
            <w:noWrap/>
            <w:vAlign w:val="bottom"/>
            <w:hideMark/>
          </w:tcPr>
          <w:p w14:paraId="5F9C7B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132D39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5EB7462"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4DCC678"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74B6AE86" w14:textId="77777777" w:rsidR="00D86847" w:rsidRPr="00DA7AD1" w:rsidRDefault="00D86847" w:rsidP="00D86847">
            <w:pPr>
              <w:rPr>
                <w:rFonts w:ascii="Calibri" w:hAnsi="Calibri" w:cs="Calibri"/>
                <w:color w:val="000000"/>
              </w:rPr>
            </w:pPr>
          </w:p>
        </w:tc>
      </w:tr>
      <w:tr w:rsidR="00D86847" w:rsidRPr="00DA7AD1" w14:paraId="1F511D8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3B08A9B" w14:textId="5FD9DB12"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p>
        </w:tc>
        <w:tc>
          <w:tcPr>
            <w:tcW w:w="993" w:type="dxa"/>
            <w:tcBorders>
              <w:top w:val="nil"/>
              <w:left w:val="nil"/>
              <w:bottom w:val="nil"/>
              <w:right w:val="nil"/>
            </w:tcBorders>
            <w:shd w:val="clear" w:color="auto" w:fill="auto"/>
            <w:noWrap/>
            <w:vAlign w:val="bottom"/>
            <w:hideMark/>
          </w:tcPr>
          <w:p w14:paraId="16C23C12"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992" w:type="dxa"/>
            <w:tcBorders>
              <w:top w:val="nil"/>
              <w:left w:val="nil"/>
              <w:bottom w:val="nil"/>
              <w:right w:val="nil"/>
            </w:tcBorders>
            <w:shd w:val="clear" w:color="auto" w:fill="auto"/>
            <w:noWrap/>
            <w:vAlign w:val="bottom"/>
            <w:hideMark/>
          </w:tcPr>
          <w:p w14:paraId="3487374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425FC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024BA5C"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4C0E43D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A4EA3F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5F43DE7"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55F7893A"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4586CC2" w14:textId="77777777" w:rsidR="00D86847" w:rsidRPr="00DA7AD1" w:rsidRDefault="00D86847" w:rsidP="00D86847">
            <w:pPr>
              <w:rPr>
                <w:rFonts w:ascii="Calibri" w:hAnsi="Calibri" w:cs="Calibri"/>
                <w:color w:val="000000"/>
              </w:rPr>
            </w:pPr>
          </w:p>
        </w:tc>
      </w:tr>
      <w:tr w:rsidR="00D86847" w:rsidRPr="00DA7AD1" w14:paraId="0B5EDC7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5E68FB9" w14:textId="40FF5377" w:rsidR="00D86847" w:rsidRPr="00DA7AD1" w:rsidRDefault="00D86847" w:rsidP="00D86847">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p>
        </w:tc>
        <w:tc>
          <w:tcPr>
            <w:tcW w:w="993" w:type="dxa"/>
            <w:tcBorders>
              <w:top w:val="nil"/>
              <w:left w:val="nil"/>
              <w:bottom w:val="nil"/>
              <w:right w:val="nil"/>
            </w:tcBorders>
            <w:shd w:val="clear" w:color="auto" w:fill="auto"/>
            <w:noWrap/>
            <w:vAlign w:val="bottom"/>
            <w:hideMark/>
          </w:tcPr>
          <w:p w14:paraId="79247136"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06182FF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68F5AAB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A22177"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6DEAB1E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FB8361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901347B"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7E4717C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0867A62E" w14:textId="77777777" w:rsidR="00D86847" w:rsidRPr="00DA7AD1" w:rsidRDefault="00D86847" w:rsidP="00D86847">
            <w:pPr>
              <w:rPr>
                <w:rFonts w:ascii="Calibri" w:hAnsi="Calibri" w:cs="Calibri"/>
                <w:color w:val="000000"/>
              </w:rPr>
            </w:pPr>
          </w:p>
        </w:tc>
      </w:tr>
      <w:tr w:rsidR="00D86847" w:rsidRPr="00DA7AD1" w14:paraId="5A4C1F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3BE1EC" w14:textId="12EACD75" w:rsidR="00DA7AD1" w:rsidRPr="00DA7AD1" w:rsidRDefault="00D86847" w:rsidP="00DA7AD1">
            <w:pPr>
              <w:rPr>
                <w:rFonts w:ascii="Calibri" w:hAnsi="Calibri" w:cs="Calibri"/>
                <w:color w:val="000000"/>
              </w:rPr>
            </w:pPr>
            <w:proofErr w:type="spellStart"/>
            <w:r>
              <w:rPr>
                <w:rFonts w:ascii="Calibri" w:hAnsi="Calibri" w:cs="Calibri"/>
                <w:color w:val="000000"/>
              </w:rPr>
              <w:t>Intellect</w:t>
            </w:r>
            <w:proofErr w:type="spellEnd"/>
          </w:p>
        </w:tc>
        <w:tc>
          <w:tcPr>
            <w:tcW w:w="993" w:type="dxa"/>
            <w:tcBorders>
              <w:top w:val="nil"/>
              <w:left w:val="nil"/>
              <w:bottom w:val="nil"/>
              <w:right w:val="nil"/>
            </w:tcBorders>
            <w:shd w:val="clear" w:color="auto" w:fill="auto"/>
            <w:noWrap/>
            <w:vAlign w:val="bottom"/>
            <w:hideMark/>
          </w:tcPr>
          <w:p w14:paraId="0156F2C7" w14:textId="77777777" w:rsidR="00DA7AD1" w:rsidRPr="00DA7AD1" w:rsidRDefault="00DA7AD1" w:rsidP="00DA7AD1">
            <w:pPr>
              <w:rPr>
                <w:rFonts w:ascii="Calibri" w:hAnsi="Calibri" w:cs="Calibri"/>
                <w:color w:val="000000"/>
              </w:rPr>
            </w:pPr>
            <w:r w:rsidRPr="00DA7AD1">
              <w:rPr>
                <w:rFonts w:ascii="Calibri" w:hAnsi="Calibri" w:cs="Calibri"/>
                <w:color w:val="000000"/>
              </w:rPr>
              <w:t>0.24</w:t>
            </w:r>
          </w:p>
        </w:tc>
        <w:tc>
          <w:tcPr>
            <w:tcW w:w="992" w:type="dxa"/>
            <w:tcBorders>
              <w:top w:val="nil"/>
              <w:left w:val="nil"/>
              <w:bottom w:val="nil"/>
              <w:right w:val="nil"/>
            </w:tcBorders>
            <w:shd w:val="clear" w:color="auto" w:fill="auto"/>
            <w:noWrap/>
            <w:vAlign w:val="bottom"/>
            <w:hideMark/>
          </w:tcPr>
          <w:p w14:paraId="7FAC802D"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17BE2DEB"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5F46137"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3B427ACF"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566" w:type="dxa"/>
            <w:tcBorders>
              <w:top w:val="nil"/>
              <w:left w:val="nil"/>
              <w:bottom w:val="nil"/>
              <w:right w:val="nil"/>
            </w:tcBorders>
            <w:shd w:val="clear" w:color="auto" w:fill="auto"/>
            <w:noWrap/>
            <w:vAlign w:val="bottom"/>
            <w:hideMark/>
          </w:tcPr>
          <w:p w14:paraId="006E2C8C"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AFA61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76829E49"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BFF4022" w14:textId="77777777" w:rsidR="00DA7AD1" w:rsidRPr="00DA7AD1" w:rsidRDefault="00DA7AD1" w:rsidP="00DA7AD1">
            <w:pPr>
              <w:rPr>
                <w:rFonts w:ascii="Calibri" w:hAnsi="Calibri" w:cs="Calibri"/>
                <w:color w:val="000000"/>
              </w:rPr>
            </w:pPr>
          </w:p>
        </w:tc>
      </w:tr>
      <w:tr w:rsidR="00D86847" w:rsidRPr="00DA7AD1" w14:paraId="6098FD8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570F307" w14:textId="77777777" w:rsidR="00DA7AD1" w:rsidRPr="00DA7AD1" w:rsidRDefault="00DA7AD1" w:rsidP="00DA7AD1">
            <w:pPr>
              <w:rPr>
                <w:rFonts w:ascii="Calibri" w:hAnsi="Calibri" w:cs="Calibri"/>
                <w:color w:val="000000"/>
              </w:rPr>
            </w:pPr>
            <w:r w:rsidRPr="00DA7AD1">
              <w:rPr>
                <w:rFonts w:ascii="Calibri" w:hAnsi="Calibri" w:cs="Calibri"/>
                <w:color w:val="000000"/>
              </w:rPr>
              <w:t>O</w:t>
            </w:r>
          </w:p>
        </w:tc>
        <w:tc>
          <w:tcPr>
            <w:tcW w:w="993" w:type="dxa"/>
            <w:tcBorders>
              <w:top w:val="nil"/>
              <w:left w:val="nil"/>
              <w:bottom w:val="nil"/>
              <w:right w:val="nil"/>
            </w:tcBorders>
            <w:shd w:val="clear" w:color="auto" w:fill="auto"/>
            <w:noWrap/>
            <w:vAlign w:val="bottom"/>
            <w:hideMark/>
          </w:tcPr>
          <w:p w14:paraId="49283506"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6870D1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260DB9AB"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8" w:type="dxa"/>
            <w:tcBorders>
              <w:top w:val="nil"/>
              <w:left w:val="nil"/>
              <w:bottom w:val="nil"/>
              <w:right w:val="nil"/>
            </w:tcBorders>
            <w:shd w:val="clear" w:color="auto" w:fill="auto"/>
            <w:noWrap/>
            <w:vAlign w:val="bottom"/>
            <w:hideMark/>
          </w:tcPr>
          <w:p w14:paraId="7798A331"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35B9995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C3C9944"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850" w:type="dxa"/>
            <w:tcBorders>
              <w:top w:val="nil"/>
              <w:left w:val="nil"/>
              <w:bottom w:val="nil"/>
              <w:right w:val="nil"/>
            </w:tcBorders>
            <w:shd w:val="clear" w:color="auto" w:fill="auto"/>
            <w:noWrap/>
            <w:vAlign w:val="bottom"/>
            <w:hideMark/>
          </w:tcPr>
          <w:p w14:paraId="2BD08671"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79C2747D"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33FBDEA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bl>
    <w:p w14:paraId="54E366E6" w14:textId="32EF6996" w:rsidR="00DA7AD1" w:rsidRDefault="00DA7AD1" w:rsidP="00C377B4">
      <w:pPr>
        <w:pStyle w:val="Textoindependiente"/>
      </w:pPr>
    </w:p>
    <w:p w14:paraId="25B265C7" w14:textId="77777777" w:rsidR="00DA7AD1" w:rsidRDefault="00DA7AD1" w:rsidP="00C377B4">
      <w:pPr>
        <w:pStyle w:val="Textoindependiente"/>
      </w:pP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lastRenderedPageBreak/>
        <w:t>Measures</w:t>
      </w:r>
    </w:p>
    <w:p w14:paraId="477E2F9A" w14:textId="69D1BA19" w:rsidR="009729D1" w:rsidRDefault="009729D1" w:rsidP="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 xml:space="preserve">Non-matching back-translations were flagged as inadequate </w:t>
      </w:r>
      <w:proofErr w:type="gramStart"/>
      <w:r w:rsidR="002E22F7">
        <w:t>translations, and</w:t>
      </w:r>
      <w:proofErr w:type="gramEnd"/>
      <w:r w:rsidR="002E22F7">
        <w:t xml:space="preserve">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r>
        <w:t>Procedure</w:t>
      </w:r>
    </w:p>
    <w:p w14:paraId="6F199347" w14:textId="7196A836" w:rsidR="00087BE9" w:rsidRDefault="00087BE9" w:rsidP="00087BE9">
      <w:pPr>
        <w:pStyle w:val="Ttulo4"/>
      </w:pPr>
      <w:r>
        <w:t>CFA and ESEM</w:t>
      </w:r>
    </w:p>
    <w:p w14:paraId="6A0C25F8" w14:textId="4E8B111F" w:rsidR="00087BE9" w:rsidRPr="00087BE9" w:rsidRDefault="00087BE9" w:rsidP="00087BE9">
      <w:pPr>
        <w:pStyle w:val="Textoindependiente"/>
      </w:pPr>
      <w:r>
        <w:t xml:space="preserve">As conducted in the previous study, a CFA per facet was fitted with the German sample in order to test the robustness of </w:t>
      </w:r>
      <w:r w:rsidR="002E22F7">
        <w:t>the</w:t>
      </w:r>
      <w:r>
        <w:t xml:space="preserve"> measurement models</w:t>
      </w:r>
      <w:r w:rsidR="002E22F7">
        <w:t>, as well as an</w:t>
      </w:r>
      <w:r>
        <w:t xml:space="preserve"> ESEM </w:t>
      </w:r>
      <w:r w:rsidR="002E22F7">
        <w:t xml:space="preserve">model </w:t>
      </w:r>
      <w:r>
        <w:t>to integrate the facets in the Big Five framework</w:t>
      </w:r>
      <w:r w:rsidR="002E22F7">
        <w:t xml:space="preserve"> and test the facet’s loadings to the intended domains</w:t>
      </w:r>
      <w:r>
        <w:t xml:space="preserve">. </w:t>
      </w:r>
    </w:p>
    <w:p w14:paraId="36D4B55A" w14:textId="77777777" w:rsidR="00456E3A" w:rsidRDefault="00456E3A" w:rsidP="00456E3A">
      <w:pPr>
        <w:pStyle w:val="Ttulo4"/>
      </w:pPr>
      <w:r>
        <w:t>Measurement invariance</w:t>
      </w:r>
    </w:p>
    <w:p w14:paraId="193E1271" w14:textId="21D7938F" w:rsidR="00456E3A" w:rsidRDefault="002E22F7" w:rsidP="00456E3A">
      <w:pPr>
        <w:pStyle w:val="FirstParagraph"/>
      </w:pPr>
      <w:r>
        <w:t>Measurement</w:t>
      </w:r>
      <w:r w:rsidR="00456E3A" w:rsidRPr="00380EA7">
        <w:t xml:space="preserve"> invariance between German and US samples was</w:t>
      </w:r>
      <w:r>
        <w:t xml:space="preserve"> also</w:t>
      </w:r>
      <w:r w:rsidR="00456E3A" w:rsidRPr="00380EA7">
        <w:t xml:space="preserve"> exam</w:t>
      </w:r>
      <w:r w:rsidR="00456E3A">
        <w:t xml:space="preserve">ined. We followed the procedure </w:t>
      </w:r>
      <w:r w:rsidR="00456E3A" w:rsidRPr="00380EA7">
        <w:t>suggested by Sass (2011) and tested configural, factorial</w:t>
      </w:r>
      <w:r w:rsidR="00456E3A">
        <w:t>,</w:t>
      </w:r>
      <w:r w:rsidR="00456E3A" w:rsidRPr="00380EA7">
        <w:t xml:space="preserve"> and strong factorial invariance. The cut</w:t>
      </w:r>
      <w:r>
        <w:t>-</w:t>
      </w:r>
      <w:r w:rsidR="00456E3A" w:rsidRPr="00380EA7">
        <w:t>offs suggested by Chen (2007) were applied to compare model fits</w:t>
      </w:r>
      <w:r>
        <w:t xml:space="preserve"> (factorial invariance when </w:t>
      </w:r>
      <m:oMath>
        <m:r>
          <w:rPr>
            <w:rFonts w:ascii="Cambria Math" w:hAnsi="Cambria Math"/>
          </w:rPr>
          <m:t>Δ</m:t>
        </m:r>
      </m:oMath>
      <w:r w:rsidRPr="00380EA7">
        <w:t xml:space="preserve"> CFI &lt; .01, </w:t>
      </w:r>
      <m:oMath>
        <m:r>
          <w:rPr>
            <w:rFonts w:ascii="Cambria Math" w:hAnsi="Cambria Math"/>
          </w:rPr>
          <m:t>Δ</m:t>
        </m:r>
      </m:oMath>
      <w:r w:rsidRPr="00233011">
        <w:t xml:space="preserve"> RMSEA &lt; .015 and </w:t>
      </w:r>
      <m:oMath>
        <m:r>
          <w:rPr>
            <w:rFonts w:ascii="Cambria Math" w:hAnsi="Cambria Math"/>
          </w:rPr>
          <m:t>Δ</m:t>
        </m:r>
      </m:oMath>
      <w:r w:rsidRPr="00233011">
        <w:t xml:space="preserve"> SRMR &lt; .03</w:t>
      </w:r>
      <w:r>
        <w:t>; strong invariance when</w:t>
      </w:r>
      <w:r w:rsidRPr="00233011">
        <w:t xml:space="preserve"> </w:t>
      </w:r>
      <m:oMath>
        <m:r>
          <w:rPr>
            <w:rFonts w:ascii="Cambria Math" w:hAnsi="Cambria Math"/>
          </w:rPr>
          <m:t>Δ</m:t>
        </m:r>
      </m:oMath>
      <w:r w:rsidRPr="00233011">
        <w:t xml:space="preserve"> CFI &lt; .01, </w:t>
      </w:r>
      <m:oMath>
        <m:r>
          <w:rPr>
            <w:rFonts w:ascii="Cambria Math" w:hAnsi="Cambria Math"/>
          </w:rPr>
          <m:t>Δ</m:t>
        </m:r>
      </m:oMath>
      <w:r w:rsidRPr="00233011">
        <w:t xml:space="preserve"> RMSEA &lt; .015, </w:t>
      </w:r>
      <m:oMath>
        <m:r>
          <w:rPr>
            <w:rFonts w:ascii="Cambria Math" w:hAnsi="Cambria Math"/>
          </w:rPr>
          <m:t>Δ</m:t>
        </m:r>
      </m:oMath>
      <w:r w:rsidRPr="00233011">
        <w:t xml:space="preserve"> SRMR &lt; .01</w:t>
      </w:r>
      <w:r>
        <w:t>)</w:t>
      </w:r>
      <w:r w:rsidR="00456E3A" w:rsidRPr="00380EA7">
        <w:t>. According to this</w:t>
      </w:r>
      <w:r w:rsidR="00456E3A">
        <w:t>,</w:t>
      </w:r>
      <w:r w:rsidR="00456E3A" w:rsidRPr="00380EA7">
        <w:t xml:space="preserve">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w:t>
      </w:r>
      <w:bookmarkStart w:id="55" w:name="criterion-validity-evidence"/>
      <w:bookmarkEnd w:id="55"/>
    </w:p>
    <w:p w14:paraId="279FC1A6" w14:textId="77777777" w:rsidR="00456E3A" w:rsidRPr="004E62D9" w:rsidRDefault="00456E3A" w:rsidP="004E62D9">
      <w:pPr>
        <w:pStyle w:val="Textoindependiente"/>
      </w:pPr>
    </w:p>
    <w:p w14:paraId="4AE52DE7" w14:textId="77777777" w:rsidR="004E62D9" w:rsidRDefault="004E62D9" w:rsidP="009729D1">
      <w:pPr>
        <w:pStyle w:val="Textoindependiente"/>
      </w:pPr>
    </w:p>
    <w:p w14:paraId="70780BDF" w14:textId="77777777" w:rsidR="00456E3A" w:rsidRPr="00233011" w:rsidRDefault="00456E3A" w:rsidP="00456E3A">
      <w:pPr>
        <w:pStyle w:val="Ttulo3"/>
      </w:pPr>
      <w:r>
        <w:t>Results</w:t>
      </w:r>
    </w:p>
    <w:p w14:paraId="33BBD243" w14:textId="77777777" w:rsidR="009729D1" w:rsidRDefault="009729D1">
      <w:pPr>
        <w:pStyle w:val="Textoindependiente"/>
      </w:pPr>
    </w:p>
    <w:p w14:paraId="681C3FA1" w14:textId="77777777" w:rsidR="00456E3A" w:rsidRDefault="00456E3A" w:rsidP="00456E3A">
      <w:pPr>
        <w:pStyle w:val="Ttulo3"/>
      </w:pPr>
      <w:r>
        <w:t>Measurement Invariance</w:t>
      </w:r>
    </w:p>
    <w:p w14:paraId="1EC1E473" w14:textId="6369F50D" w:rsidR="00456E3A" w:rsidRDefault="00456E3A" w:rsidP="00456E3A">
      <w:pPr>
        <w:pStyle w:val="FirstParagraph"/>
        <w:ind w:firstLine="0"/>
      </w:pPr>
      <w:r>
        <w:t xml:space="preserve">The models presented used in the CFA procedure were tested </w:t>
      </w:r>
      <w:proofErr w:type="gramStart"/>
      <w:r>
        <w:t>For</w:t>
      </w:r>
      <w:proofErr w:type="gramEnd"/>
      <w:r>
        <w:t xml:space="preserve"> analyzing measurement invariance the latest facet model structure (with additional facets) was taken. The results are shown in Table 6. Configural measurement invariance could be shown for the facets </w:t>
      </w:r>
      <w:r>
        <w:rPr>
          <w:i/>
        </w:rPr>
        <w:t>Appreciation</w:t>
      </w:r>
      <w:r>
        <w:t xml:space="preserve">, </w:t>
      </w:r>
      <w:r w:rsidRPr="00FF5824">
        <w:rPr>
          <w:rFonts w:ascii="Arial" w:eastAsia="Times New Roman" w:hAnsi="Arial" w:cs="Arial"/>
          <w:i/>
          <w:sz w:val="20"/>
          <w:szCs w:val="20"/>
          <w:lang w:val="en-GB" w:eastAsia="es-ES_tradnl"/>
        </w:rPr>
        <w:t>Low Competitiveness</w:t>
      </w:r>
      <w:r>
        <w:t xml:space="preserve">, </w:t>
      </w:r>
      <w:r w:rsidRPr="00633156">
        <w:rPr>
          <w:i/>
        </w:rPr>
        <w:t>Readiness to give feedback</w:t>
      </w:r>
      <w:r>
        <w:t xml:space="preserve">, </w:t>
      </w:r>
      <w:r>
        <w:rPr>
          <w:i/>
        </w:rPr>
        <w:t>Search for support</w:t>
      </w:r>
      <w:r>
        <w:t xml:space="preserve">, </w:t>
      </w:r>
      <w:proofErr w:type="spellStart"/>
      <w:r>
        <w:rPr>
          <w:i/>
        </w:rPr>
        <w:t>Genuiness</w:t>
      </w:r>
      <w:proofErr w:type="spellEnd"/>
      <w:r>
        <w:t xml:space="preserve">, </w:t>
      </w:r>
      <w:r>
        <w:rPr>
          <w:i/>
        </w:rPr>
        <w:t>Altruism</w:t>
      </w:r>
      <w:r>
        <w:t xml:space="preserve"> (facets of Agreeableness), </w:t>
      </w:r>
      <w:r>
        <w:rPr>
          <w:i/>
        </w:rPr>
        <w:t>Persistence</w:t>
      </w:r>
      <w:r>
        <w:t xml:space="preserve">, </w:t>
      </w:r>
      <w:r>
        <w:rPr>
          <w:i/>
        </w:rPr>
        <w:t>Task Planning</w:t>
      </w:r>
      <w:r>
        <w:t xml:space="preserve">, </w:t>
      </w:r>
      <w:r>
        <w:rPr>
          <w:i/>
        </w:rPr>
        <w:t>Goal-orientation</w:t>
      </w:r>
      <w:r>
        <w:t xml:space="preserve">, </w:t>
      </w:r>
      <w:r>
        <w:rPr>
          <w:i/>
        </w:rPr>
        <w:t>Wish to work</w:t>
      </w:r>
      <w:r>
        <w:t xml:space="preserve">, </w:t>
      </w:r>
      <w:r>
        <w:rPr>
          <w:i/>
        </w:rPr>
        <w:t>Productivity</w:t>
      </w:r>
      <w:r>
        <w:t xml:space="preserve"> (facets of Conscientiousness), </w:t>
      </w:r>
      <w:r>
        <w:rPr>
          <w:i/>
        </w:rPr>
        <w:t>Forcefulness</w:t>
      </w:r>
      <w:r>
        <w:t xml:space="preserve">, </w:t>
      </w:r>
      <w:r>
        <w:rPr>
          <w:i/>
        </w:rPr>
        <w:t>Energy, Conviviality</w:t>
      </w:r>
      <w:r>
        <w:t xml:space="preserve"> (facets of Extraversion), </w:t>
      </w:r>
      <w:r>
        <w:rPr>
          <w:i/>
        </w:rPr>
        <w:t>Equanimity</w:t>
      </w:r>
      <w:r>
        <w:t xml:space="preserve">, </w:t>
      </w:r>
      <w:r>
        <w:rPr>
          <w:i/>
        </w:rPr>
        <w:t>Self-Attention</w:t>
      </w:r>
      <w:r>
        <w:t xml:space="preserve"> (facets of Emotional Stability), </w:t>
      </w:r>
      <w:r>
        <w:rPr>
          <w:i/>
        </w:rPr>
        <w:t>Creativity</w:t>
      </w:r>
      <w:r>
        <w:t xml:space="preserve">, </w:t>
      </w:r>
      <w:r>
        <w:rPr>
          <w:i/>
        </w:rPr>
        <w:t>Wish for variety</w:t>
      </w:r>
      <w:r>
        <w:t xml:space="preserve">, </w:t>
      </w:r>
      <w:r>
        <w:rPr>
          <w:i/>
        </w:rPr>
        <w:t>Open-</w:t>
      </w:r>
      <w:proofErr w:type="spellStart"/>
      <w:r>
        <w:rPr>
          <w:i/>
        </w:rPr>
        <w:t>mindednes</w:t>
      </w:r>
      <w:proofErr w:type="spellEnd"/>
      <w:r>
        <w:t xml:space="preserve">, </w:t>
      </w:r>
      <w:r>
        <w:rPr>
          <w:i/>
        </w:rPr>
        <w:t>Willingness to learn</w:t>
      </w:r>
      <w:r>
        <w:t xml:space="preserve">, </w:t>
      </w:r>
      <w:r>
        <w:rPr>
          <w:i/>
        </w:rPr>
        <w:t>Sensitivity</w:t>
      </w:r>
      <w:r>
        <w:t xml:space="preserve"> and </w:t>
      </w:r>
      <w:r>
        <w:rPr>
          <w:i/>
        </w:rPr>
        <w:t>Intellect</w:t>
      </w:r>
      <w:r>
        <w:t xml:space="preserve"> (facets of Openness).</w:t>
      </w:r>
    </w:p>
    <w:p w14:paraId="0F65C4E8" w14:textId="77777777" w:rsidR="00456E3A" w:rsidRDefault="00456E3A" w:rsidP="00456E3A">
      <w:pPr>
        <w:pStyle w:val="Textoindependiente"/>
      </w:pPr>
      <w:r>
        <w:t xml:space="preserve">Weak factorial measurement invariance could be shown for the facets </w:t>
      </w:r>
      <w:r>
        <w:rPr>
          <w:i/>
        </w:rPr>
        <w:t>Integrity</w:t>
      </w:r>
      <w:r>
        <w:t xml:space="preserve">, </w:t>
      </w:r>
      <w:r>
        <w:rPr>
          <w:i/>
        </w:rPr>
        <w:t>Compliance</w:t>
      </w:r>
      <w:r>
        <w:t xml:space="preserve"> (facets of Agreeableness), </w:t>
      </w:r>
      <w:r>
        <w:rPr>
          <w:i/>
        </w:rPr>
        <w:t>Dominance</w:t>
      </w:r>
      <w:r>
        <w:t xml:space="preserve">, </w:t>
      </w:r>
      <w:r>
        <w:rPr>
          <w:i/>
        </w:rPr>
        <w:t>Self-Discipline,</w:t>
      </w:r>
      <w:r>
        <w:t xml:space="preserve"> </w:t>
      </w:r>
      <w:r>
        <w:rPr>
          <w:i/>
        </w:rPr>
        <w:t>Carefulness</w:t>
      </w:r>
      <w:r>
        <w:t xml:space="preserve">, </w:t>
      </w:r>
      <w:r>
        <w:rPr>
          <w:i/>
        </w:rPr>
        <w:t>Orderliness</w:t>
      </w:r>
      <w:r>
        <w:t xml:space="preserve"> (facets of Conscientiousness), </w:t>
      </w:r>
      <w:r>
        <w:rPr>
          <w:i/>
        </w:rPr>
        <w:t xml:space="preserve">Readiness to take risks, </w:t>
      </w:r>
      <w:r>
        <w:t xml:space="preserve">Wish for affiliation, </w:t>
      </w:r>
      <w:r>
        <w:rPr>
          <w:i/>
        </w:rPr>
        <w:t>Positive attitude</w:t>
      </w:r>
      <w:r>
        <w:t xml:space="preserve">, </w:t>
      </w:r>
      <w:r>
        <w:rPr>
          <w:i/>
        </w:rPr>
        <w:t>Humor, Communicativeness</w:t>
      </w:r>
      <w:r>
        <w:t xml:space="preserve"> (facets of Extraversion),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(facets of Emotional Stability), </w:t>
      </w:r>
      <w:r>
        <w:rPr>
          <w:i/>
        </w:rPr>
        <w:t>Interest in reading</w:t>
      </w:r>
      <w:r>
        <w:t xml:space="preserve">, </w:t>
      </w:r>
      <w:r>
        <w:rPr>
          <w:i/>
        </w:rPr>
        <w:t>Aesthetics</w:t>
      </w:r>
      <w:r>
        <w:t xml:space="preserve"> and </w:t>
      </w:r>
      <w:r>
        <w:rPr>
          <w:i/>
        </w:rPr>
        <w:t>Wish to analyze</w:t>
      </w:r>
      <w:r>
        <w:t xml:space="preserve"> (facets of Openness).</w:t>
      </w:r>
    </w:p>
    <w:p w14:paraId="4E3FA370" w14:textId="77777777" w:rsidR="00456E3A" w:rsidRDefault="00456E3A" w:rsidP="00456E3A">
      <w:pPr>
        <w:pStyle w:val="Textoindependiente"/>
      </w:pPr>
      <w:r>
        <w:t xml:space="preserve">The only facet with strong factorial measurement invariance was </w:t>
      </w:r>
      <w:r>
        <w:rPr>
          <w:i/>
        </w:rPr>
        <w:t>Sociability</w:t>
      </w:r>
      <w:r>
        <w:t>, a facet of Extraversion.</w:t>
      </w:r>
    </w:p>
    <w:p w14:paraId="7A6DF180" w14:textId="77777777" w:rsidR="00456E3A" w:rsidRDefault="00456E3A" w:rsidP="00456E3A">
      <w:pPr>
        <w:pStyle w:val="Textoindependiente"/>
      </w:pPr>
    </w:p>
    <w:p w14:paraId="66D6B854" w14:textId="77777777" w:rsidR="00456E3A" w:rsidRDefault="00456E3A" w:rsidP="00456E3A">
      <w:pPr>
        <w:pStyle w:val="Textoindependiente"/>
      </w:pPr>
    </w:p>
    <w:p w14:paraId="566A6008" w14:textId="77777777" w:rsidR="00456E3A" w:rsidRDefault="00456E3A" w:rsidP="00456E3A">
      <w:pPr>
        <w:pStyle w:val="Textoindependiente"/>
      </w:pPr>
    </w:p>
    <w:p w14:paraId="49F2F3DD" w14:textId="77777777" w:rsidR="00456E3A" w:rsidRDefault="00456E3A" w:rsidP="00456E3A">
      <w:pPr>
        <w:pStyle w:val="Textoindependiente"/>
      </w:pPr>
    </w:p>
    <w:p w14:paraId="088240C7" w14:textId="77777777" w:rsidR="00456E3A" w:rsidRDefault="00456E3A" w:rsidP="00456E3A">
      <w:pPr>
        <w:pStyle w:val="Textoindependiente"/>
      </w:pPr>
    </w:p>
    <w:p w14:paraId="07FBBD75" w14:textId="77777777" w:rsidR="00456E3A" w:rsidRDefault="00456E3A" w:rsidP="00456E3A">
      <w:pPr>
        <w:pStyle w:val="Textoindependiente"/>
      </w:pPr>
      <w:r>
        <w:t>Table 6. Metric invariance</w:t>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3B0D748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p w14:paraId="0E3C6E2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Readiness to give feedback</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007D74E4" w14:textId="77777777" w:rsidTr="00456E3A">
        <w:trPr>
          <w:trHeight w:val="260"/>
        </w:trPr>
        <w:tc>
          <w:tcPr>
            <w:tcW w:w="2780" w:type="dxa"/>
            <w:tcBorders>
              <w:top w:val="nil"/>
              <w:left w:val="nil"/>
              <w:bottom w:val="nil"/>
              <w:right w:val="nil"/>
            </w:tcBorders>
            <w:shd w:val="clear" w:color="auto" w:fill="auto"/>
            <w:noWrap/>
            <w:vAlign w:val="bottom"/>
            <w:hideMark/>
          </w:tcPr>
          <w:p w14:paraId="2057D49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48268B5"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79F7E42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F7DA46" w14:textId="77777777" w:rsidR="00456E3A" w:rsidRPr="00991DD4" w:rsidRDefault="00456E3A" w:rsidP="00456E3A">
            <w:pPr>
              <w:rPr>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77777777" w:rsidR="00456E3A" w:rsidRPr="00991DD4" w:rsidRDefault="00456E3A" w:rsidP="00456E3A">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45CAED33" w:rsidR="00E26566" w:rsidRDefault="00E26566">
      <w:pPr>
        <w:pStyle w:val="Textoindependiente"/>
      </w:pPr>
      <w:r>
        <w:rPr>
          <w:noProof/>
          <w:lang w:val="nl-BE" w:eastAsia="nl-BE"/>
        </w:rPr>
        <w:lastRenderedPageBreak/>
        <w:drawing>
          <wp:inline distT="0" distB="0" distL="0" distR="0" wp14:anchorId="14FA8EAD" wp14:editId="1D036ECA">
            <wp:extent cx="5971540" cy="706247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2">
                      <a:extLst>
                        <a:ext uri="{28A0092B-C50C-407E-A947-70E740481C1C}">
                          <a14:useLocalDpi xmlns:a14="http://schemas.microsoft.com/office/drawing/2010/main" val="0"/>
                        </a:ext>
                      </a:extLst>
                    </a:blip>
                    <a:srcRect l="12849" t="17175" r="14912" b="16804"/>
                    <a:stretch/>
                  </pic:blipFill>
                  <pic:spPr bwMode="auto">
                    <a:xfrm>
                      <a:off x="0" y="0"/>
                      <a:ext cx="5971540" cy="7062470"/>
                    </a:xfrm>
                    <a:prstGeom prst="rect">
                      <a:avLst/>
                    </a:prstGeom>
                    <a:ln>
                      <a:noFill/>
                    </a:ln>
                    <a:extLst>
                      <a:ext uri="{53640926-AAD7-44D8-BBD7-CCE9431645EC}">
                        <a14:shadowObscured xmlns:a14="http://schemas.microsoft.com/office/drawing/2010/main"/>
                      </a:ext>
                    </a:extLst>
                  </pic:spPr>
                </pic:pic>
              </a:graphicData>
            </a:graphic>
          </wp:inline>
        </w:drawing>
      </w:r>
    </w:p>
    <w:p w14:paraId="0B183F20" w14:textId="77777777" w:rsidR="00EA382D" w:rsidRDefault="00EA382D">
      <w:pPr>
        <w:pStyle w:val="Textoindependiente"/>
      </w:pPr>
    </w:p>
    <w:p w14:paraId="3C3A6373" w14:textId="77777777" w:rsidR="00EA382D" w:rsidRDefault="00C96047">
      <w:pPr>
        <w:pStyle w:val="Ttulo1"/>
      </w:pPr>
      <w:bookmarkStart w:id="56" w:name="discussion"/>
      <w:bookmarkEnd w:id="56"/>
      <w:r>
        <w:lastRenderedPageBreak/>
        <w:t>Discussion</w:t>
      </w:r>
    </w:p>
    <w:p w14:paraId="27060ECB" w14:textId="579A5070" w:rsidR="00EA382D" w:rsidRDefault="009F5FE7">
      <w:pPr>
        <w:pStyle w:val="FirstParagraph"/>
      </w:pPr>
      <w:r>
        <w:t xml:space="preserve">Aim of the current study was to provide an open-access Big Five facet tool and also demonstrate first evidence regarding the </w:t>
      </w:r>
      <w:proofErr w:type="gramStart"/>
      <w:r>
        <w:t>scores</w:t>
      </w:r>
      <w:proofErr w:type="gramEnd"/>
      <w:r>
        <w:t xml:space="preserve"> reliability and validity. The result is a </w:t>
      </w:r>
      <w:commentRangeStart w:id="57"/>
      <w:r>
        <w:t xml:space="preserve">42 facet </w:t>
      </w:r>
      <w:commentRangeEnd w:id="57"/>
      <w:r w:rsidR="00FE6153">
        <w:rPr>
          <w:rStyle w:val="Refdecomentario"/>
          <w:rFonts w:asciiTheme="minorHAnsi" w:hAnsiTheme="minorHAnsi"/>
        </w:rPr>
        <w:commentReference w:id="57"/>
      </w:r>
      <w:r>
        <w:t xml:space="preserve">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r>
        <w:t>research</w:t>
      </w:r>
      <w:r w:rsidR="001B379F">
        <w:t xml:space="preserve">. </w:t>
      </w:r>
    </w:p>
    <w:p w14:paraId="560CC316" w14:textId="4FF8FD15" w:rsidR="003C6773" w:rsidRPr="003C6773" w:rsidRDefault="003C6773" w:rsidP="00FF5824">
      <w:pPr>
        <w:pStyle w:val="Ttulo3"/>
      </w:pPr>
      <w:r>
        <w:t>Facet Structure</w:t>
      </w:r>
    </w:p>
    <w:p w14:paraId="2E723752" w14:textId="28950026"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59E3B32F"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w:t>
      </w:r>
      <w:r>
        <w:lastRenderedPageBreak/>
        <w:t xml:space="preserve">covered by a three-item facet in our instrument, whereas the </w:t>
      </w:r>
      <w:r>
        <w:rPr>
          <w:i/>
        </w:rPr>
        <w:t>Assertiveness</w:t>
      </w:r>
      <w:r>
        <w:t xml:space="preserve"> construct has been 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the </w:t>
      </w:r>
      <w:r w:rsidR="00485490">
        <w:t>domain</w:t>
      </w:r>
      <w:r w:rsidR="000666B0">
        <w:t xml:space="preserve"> Conscientiousness </w:t>
      </w:r>
      <w:r>
        <w:t>proposed by Soto and John (2009)</w:t>
      </w:r>
      <w:r w:rsidR="000666B0">
        <w:t>,</w:t>
      </w:r>
      <w:r>
        <w:t xml:space="preserve"> are mirrored by facets in our 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58"/>
      <w:commentRangeStart w:id="59"/>
      <w:r>
        <w:rPr>
          <w:i/>
        </w:rPr>
        <w:t>Forcefulness</w:t>
      </w:r>
      <w:commentRangeEnd w:id="58"/>
      <w:r w:rsidR="001B379F">
        <w:rPr>
          <w:rStyle w:val="Refdecomentario"/>
          <w:rFonts w:asciiTheme="minorHAnsi" w:hAnsiTheme="minorHAnsi"/>
        </w:rPr>
        <w:commentReference w:id="58"/>
      </w:r>
      <w:commentRangeEnd w:id="59"/>
      <w:r w:rsidR="00156C03">
        <w:rPr>
          <w:rStyle w:val="Refdecomentario"/>
          <w:rFonts w:asciiTheme="minorHAnsi" w:hAnsiTheme="minorHAnsi"/>
        </w:rPr>
        <w:commentReference w:id="59"/>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77777777" w:rsidR="003C6773" w:rsidRDefault="003C6773" w:rsidP="00FF5824">
      <w:pPr>
        <w:pStyle w:val="Ttulo3"/>
      </w:pPr>
      <w:r>
        <w:lastRenderedPageBreak/>
        <w:t>Reliability evidence</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77777777" w:rsidR="003C6773" w:rsidRDefault="003C6773" w:rsidP="00FF5824">
      <w:pPr>
        <w:pStyle w:val="Ttulo3"/>
      </w:pPr>
      <w:r>
        <w:t xml:space="preserve">Validity Evidence </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w:t>
      </w:r>
      <w:r w:rsidR="00D86142" w:rsidRPr="00B272EF">
        <w:rPr>
          <w:rFonts w:eastAsiaTheme="minorEastAsia"/>
          <w:color w:val="000000"/>
          <w:lang w:eastAsia="nl-BE"/>
        </w:rPr>
        <w:lastRenderedPageBreak/>
        <w:t xml:space="preserve">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77777777" w:rsidR="003C6773" w:rsidRDefault="003C6773" w:rsidP="00FF5824">
      <w:pPr>
        <w:pStyle w:val="Ttulo3"/>
      </w:pPr>
      <w:r>
        <w:t>Measurement Invariance</w:t>
      </w:r>
    </w:p>
    <w:p w14:paraId="54361F70" w14:textId="35C4B78B"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t xml:space="preserve">invariance. </w:t>
      </w:r>
      <w:r w:rsidR="006C5004">
        <w:t>All facets but two were invariant between two cultures at the configural level, and about half of the facets were metric invariant. Strong factorial invariance 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 xml:space="preserve">important between the </w:t>
      </w:r>
      <w:proofErr w:type="gramStart"/>
      <w:r w:rsidR="004632F3">
        <w:t>countries</w:t>
      </w:r>
      <w:proofErr w:type="gramEnd"/>
      <w:r w:rsidR="009C4196">
        <w:t xml:space="preserve"> samples, the </w:t>
      </w:r>
      <w:r w:rsidR="009C4196">
        <w:lastRenderedPageBreak/>
        <w:t xml:space="preserve">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 xml:space="preserve">Furthermore, a broad multi-facet inventory can also impact applied settings like </w:t>
      </w:r>
      <w:proofErr w:type="gramStart"/>
      <w:r>
        <w:t>clinical</w:t>
      </w:r>
      <w:r w:rsidR="00D94D14">
        <w:t xml:space="preserve"> </w:t>
      </w:r>
      <w:r>
        <w:t xml:space="preserve"> psychology</w:t>
      </w:r>
      <w:proofErr w:type="gramEnd"/>
      <w:r>
        <w:t xml:space="preserve">.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w:t>
      </w:r>
      <w:r w:rsidR="007928AF">
        <w:lastRenderedPageBreak/>
        <w:t xml:space="preserve">PID is, like NEO-PI-R, </w:t>
      </w:r>
      <w:r w:rsidR="000E22EE">
        <w:t>restricted to five facets per dimension</w:t>
      </w:r>
      <w:r w:rsidR="007928AF">
        <w:t xml:space="preserve">. The Berlin Multi-Facet could have implications in this field by </w:t>
      </w:r>
      <w:commentRangeStart w:id="60"/>
      <w:r w:rsidR="007928AF">
        <w:t>allowing clinicians to explore facets which are out of the scope of the PID.</w:t>
      </w:r>
      <w:commentRangeEnd w:id="60"/>
      <w:r w:rsidR="007928AF">
        <w:rPr>
          <w:rStyle w:val="Refdecomentario"/>
          <w:rFonts w:asciiTheme="minorHAnsi" w:hAnsiTheme="minorHAnsi"/>
        </w:rPr>
        <w:commentReference w:id="60"/>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61"/>
      <w:commentRangeStart w:id="62"/>
      <w:commentRangeStart w:id="63"/>
      <w:r>
        <w:lastRenderedPageBreak/>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57059168" w14:textId="77777777" w:rsidR="007E1FFB" w:rsidRDefault="007E1FFB" w:rsidP="007E1FFB">
      <w:pPr>
        <w:pStyle w:val="Textoindependiente"/>
      </w:pPr>
      <w:r>
        <w:lastRenderedPageBreak/>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1"/>
      <w:r>
        <w:rPr>
          <w:rStyle w:val="Refdecomentario"/>
          <w:rFonts w:asciiTheme="minorHAnsi" w:hAnsiTheme="minorHAnsi"/>
        </w:rPr>
        <w:commentReference w:id="61"/>
      </w:r>
      <w:commentRangeEnd w:id="62"/>
      <w:r w:rsidR="00156C03">
        <w:rPr>
          <w:rStyle w:val="Refdecomentario"/>
          <w:rFonts w:asciiTheme="minorHAnsi" w:hAnsiTheme="minorHAnsi"/>
        </w:rPr>
        <w:commentReference w:id="62"/>
      </w:r>
      <w:commentRangeEnd w:id="63"/>
      <w:r w:rsidR="00B5773A">
        <w:rPr>
          <w:rStyle w:val="Refdecomentario"/>
          <w:rFonts w:asciiTheme="minorHAnsi" w:hAnsiTheme="minorHAnsi"/>
        </w:rPr>
        <w:commentReference w:id="63"/>
      </w:r>
    </w:p>
    <w:p w14:paraId="411B0224" w14:textId="77777777" w:rsidR="007E1FFB" w:rsidRDefault="007E1FFB">
      <w:pPr>
        <w:pStyle w:val="Textoindependiente"/>
      </w:pPr>
    </w:p>
    <w:p w14:paraId="49A82C92" w14:textId="77777777" w:rsidR="00427EDE" w:rsidRDefault="00427EDE">
      <w:pPr>
        <w:pStyle w:val="Ttulo1"/>
      </w:pPr>
      <w:bookmarkStart w:id="64" w:name="references"/>
      <w:bookmarkEnd w:id="64"/>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3">
        <w:r>
          <w:rPr>
            <w:rStyle w:val="Hipervnculo"/>
          </w:rPr>
          <w:t>10.1037/h0093360</w:t>
        </w:r>
      </w:hyperlink>
    </w:p>
    <w:p w14:paraId="0D2143DB" w14:textId="77777777" w:rsidR="00EA382D" w:rsidRDefault="00C96047">
      <w:pPr>
        <w:pStyle w:val="Textoindependiente"/>
      </w:pPr>
      <w:r>
        <w:lastRenderedPageBreak/>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4">
        <w:r>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5">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6">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7">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8">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9">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20">
        <w:r>
          <w:rPr>
            <w:rStyle w:val="Hipervnculo"/>
          </w:rPr>
          <w:t>10.1037/h0047239</w:t>
        </w:r>
      </w:hyperlink>
    </w:p>
    <w:p w14:paraId="4449A925" w14:textId="77777777" w:rsidR="00EA382D" w:rsidRDefault="00C96047">
      <w:pPr>
        <w:pStyle w:val="Textoindependiente"/>
      </w:pPr>
      <w:r>
        <w:lastRenderedPageBreak/>
        <w:t>Chamorro-</w:t>
      </w:r>
      <w:proofErr w:type="spellStart"/>
      <w:r>
        <w:t>Premuzic</w:t>
      </w:r>
      <w:proofErr w:type="spellEnd"/>
      <w:r>
        <w:t>, T., &amp; Furnham, A. (2003). Personality predicts academic performance: Evidence from two longitudinal university samples. doi:</w:t>
      </w:r>
      <w:hyperlink r:id="rId21">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2">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3">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4">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5">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6">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7">
        <w:r>
          <w:rPr>
            <w:rStyle w:val="Hipervnculo"/>
          </w:rPr>
          <w:t>10.1037/0022-3514.93.5.880</w:t>
        </w:r>
      </w:hyperlink>
    </w:p>
    <w:p w14:paraId="4207EBC7" w14:textId="77777777" w:rsidR="00EA382D" w:rsidRDefault="00C96047">
      <w:pPr>
        <w:pStyle w:val="Textoindependiente"/>
      </w:pPr>
      <w:r w:rsidRPr="009A322B">
        <w:lastRenderedPageBreak/>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8">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9">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30">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1">
        <w:r>
          <w:rPr>
            <w:rStyle w:val="Hipervnculo"/>
          </w:rPr>
          <w:t>10.1037/h0057198</w:t>
        </w:r>
      </w:hyperlink>
    </w:p>
    <w:p w14:paraId="06633233" w14:textId="77777777" w:rsidR="00EA382D" w:rsidRDefault="00C96047">
      <w:pPr>
        <w:pStyle w:val="Textoindependiente"/>
      </w:pPr>
      <w:r>
        <w:t>Galton, F. (1884). The Measurement of Character. doi:</w:t>
      </w:r>
      <w:hyperlink r:id="rId32">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3">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4">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5">
        <w:r>
          <w:rPr>
            <w:rStyle w:val="Hipervnculo"/>
          </w:rPr>
          <w:t>10.1016/j.jrp.2005.08.007</w:t>
        </w:r>
      </w:hyperlink>
    </w:p>
    <w:p w14:paraId="36001DCE" w14:textId="77777777" w:rsidR="00EA382D" w:rsidRDefault="00C96047">
      <w:pPr>
        <w:pStyle w:val="Textoindependiente"/>
      </w:pPr>
      <w:r>
        <w:lastRenderedPageBreak/>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6">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7">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8">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9">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40">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1">
        <w:r>
          <w:rPr>
            <w:rStyle w:val="Hipervnculo"/>
          </w:rPr>
          <w:t>10.1017/S0033291711002674</w:t>
        </w:r>
      </w:hyperlink>
    </w:p>
    <w:p w14:paraId="074BD9D4" w14:textId="77777777" w:rsidR="00EA382D" w:rsidRDefault="00C96047">
      <w:pPr>
        <w:pStyle w:val="Textoindependiente"/>
      </w:pPr>
      <w:r>
        <w:lastRenderedPageBreak/>
        <w:t xml:space="preserve">Lee, K., &amp; Ashton, M. C. (2016). Psychometric Properties of the HEXACO-100. </w:t>
      </w:r>
      <w:r>
        <w:rPr>
          <w:i/>
        </w:rPr>
        <w:t>Assessment</w:t>
      </w:r>
      <w:r>
        <w:t xml:space="preserve">, </w:t>
      </w:r>
      <w:r>
        <w:rPr>
          <w:i/>
        </w:rPr>
        <w:t>1-15</w:t>
      </w:r>
      <w:r>
        <w:t>. doi:</w:t>
      </w:r>
      <w:hyperlink r:id="rId42">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3">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4">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5">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6">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7">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8">
        <w:r>
          <w:rPr>
            <w:rStyle w:val="Hipervnculo"/>
          </w:rPr>
          <w:t>10.1177/1073191113486513</w:t>
        </w:r>
      </w:hyperlink>
    </w:p>
    <w:p w14:paraId="5DAC3CF5" w14:textId="77777777" w:rsidR="00EA382D" w:rsidRDefault="00C96047">
      <w:pPr>
        <w:pStyle w:val="Textoindependiente"/>
      </w:pPr>
      <w:r>
        <w:lastRenderedPageBreak/>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9">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50">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51">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2">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3">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4">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lastRenderedPageBreak/>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5">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6">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proofErr w:type="spellStart"/>
      <w:r w:rsidRPr="00FF5824">
        <w:rPr>
          <w:lang w:val="de-DE"/>
        </w:rPr>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7">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8">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9">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60">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1">
        <w:r>
          <w:rPr>
            <w:rStyle w:val="Hipervnculo"/>
          </w:rPr>
          <w:t>10.1037/a0014996</w:t>
        </w:r>
      </w:hyperlink>
    </w:p>
    <w:p w14:paraId="1B5D7170" w14:textId="77777777" w:rsidR="00EA382D" w:rsidRDefault="00C96047">
      <w:pPr>
        <w:pStyle w:val="Textoindependiente"/>
      </w:pPr>
      <w:proofErr w:type="spellStart"/>
      <w:r>
        <w:lastRenderedPageBreak/>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2">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3">
        <w:r>
          <w:rPr>
            <w:rStyle w:val="Hipervnculo"/>
          </w:rPr>
          <w:t>10.1111/1467-6494.00142</w:t>
        </w:r>
      </w:hyperlink>
    </w:p>
    <w:p w14:paraId="1F54A6E7" w14:textId="77777777" w:rsidR="00EA382D" w:rsidRDefault="00C96047">
      <w:pPr>
        <w:pStyle w:val="Textoindependiente"/>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4">
        <w:r>
          <w:rPr>
            <w:rStyle w:val="Hipervnculo"/>
          </w:rPr>
          <w:t>10.1111/j.1745-6916.2007.00047.x</w:t>
        </w:r>
      </w:hyperlink>
    </w:p>
    <w:p w14:paraId="0D93B414" w14:textId="77777777" w:rsidR="00EA382D" w:rsidRDefault="00C96047">
      <w:pPr>
        <w:pStyle w:val="Textoindependiente"/>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5">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6">
        <w:r>
          <w:rPr>
            <w:rStyle w:val="Hipervnculo"/>
          </w:rPr>
          <w:t>10.1207/S15327752JPA8103</w:t>
        </w:r>
      </w:hyperlink>
    </w:p>
    <w:p w14:paraId="191BB89D" w14:textId="77777777" w:rsidR="00EA382D" w:rsidRDefault="00C96047">
      <w:pPr>
        <w:pStyle w:val="Textoindependiente"/>
      </w:pPr>
      <w:r w:rsidRPr="00FF5824">
        <w:rPr>
          <w:lang w:val="de-DE"/>
        </w:rPr>
        <w:t xml:space="preserve">Samuel, D. B., &amp; </w:t>
      </w:r>
      <w:proofErr w:type="spellStart"/>
      <w:r w:rsidRPr="00FF5824">
        <w:rPr>
          <w:lang w:val="de-DE"/>
        </w:rPr>
        <w:t>Widiger</w:t>
      </w:r>
      <w:proofErr w:type="spellEnd"/>
      <w:r w:rsidRPr="00FF5824">
        <w:rPr>
          <w:lang w:val="de-D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7">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8">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9">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70">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1">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2">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3">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4">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5"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6">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7">
        <w:r>
          <w:rPr>
            <w:rStyle w:val="Hipervnculo"/>
          </w:rPr>
          <w:t>10.1037/pspp0000096</w:t>
        </w:r>
      </w:hyperlink>
    </w:p>
    <w:p w14:paraId="57727416" w14:textId="77777777" w:rsidR="00EA382D" w:rsidRDefault="00C96047">
      <w:pPr>
        <w:pStyle w:val="Textoindependiente"/>
      </w:pPr>
      <w:proofErr w:type="spellStart"/>
      <w:r>
        <w:t>Tupes</w:t>
      </w:r>
      <w:proofErr w:type="spellEnd"/>
      <w:r>
        <w:t xml:space="preserve">, E. C., &amp; Christal, R. E. (1961). Recurrent personality factors based on trait rating. </w:t>
      </w:r>
      <w:r>
        <w:rPr>
          <w:i/>
        </w:rPr>
        <w:t>Lackland Air Force Base</w:t>
      </w:r>
      <w:r>
        <w:t xml:space="preserve">, </w:t>
      </w:r>
      <w:r>
        <w:rPr>
          <w:i/>
        </w:rPr>
        <w:t>TX: USAF</w:t>
      </w:r>
      <w:r>
        <w:t xml:space="preserve">. Retrieved from </w:t>
      </w:r>
      <w:hyperlink r:id="rId78">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9">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80">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1">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2">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634B0A"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634B0A"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634B0A"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634B0A"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634B0A"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634B0A"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634B0A"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634B0A"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my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634B0A"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634B0A"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634B0A"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634B0A"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634B0A"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634B0A"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634B0A"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18-10-19T19:39:00Z" w:initials="MOU">
    <w:p w14:paraId="7E1C2619" w14:textId="663326CC" w:rsidR="00072410" w:rsidRDefault="00072410">
      <w:pPr>
        <w:pStyle w:val="Textocomentario"/>
      </w:pPr>
      <w:r>
        <w:rPr>
          <w:rStyle w:val="Refdecomentario"/>
        </w:rPr>
        <w:annotationRef/>
      </w:r>
      <w:r>
        <w:t>Not in the reference table</w:t>
      </w:r>
    </w:p>
  </w:comment>
  <w:comment w:id="4" w:author="Microsoft Office User" w:date="2018-10-19T19:39:00Z" w:initials="MOU">
    <w:p w14:paraId="4A4E39CA" w14:textId="77777777" w:rsidR="00072410" w:rsidRDefault="00072410" w:rsidP="00FE6A55">
      <w:pPr>
        <w:pStyle w:val="Textocomentario"/>
      </w:pPr>
      <w:r>
        <w:rPr>
          <w:rStyle w:val="Refdecomentario"/>
        </w:rPr>
        <w:annotationRef/>
      </w:r>
      <w:r>
        <w:t>Not in the reference table</w:t>
      </w:r>
    </w:p>
    <w:p w14:paraId="58AA8BB9" w14:textId="21BF278D" w:rsidR="00072410" w:rsidRDefault="00072410">
      <w:pPr>
        <w:pStyle w:val="Textocomentario"/>
      </w:pPr>
    </w:p>
  </w:comment>
  <w:comment w:id="5" w:author="Victor Rouco" w:date="2020-04-06T18:02:00Z" w:initials="VR">
    <w:p w14:paraId="20209993" w14:textId="4466058D" w:rsidR="00072410" w:rsidRDefault="00072410">
      <w:pPr>
        <w:pStyle w:val="Textocomentario"/>
      </w:pPr>
      <w:r>
        <w:rPr>
          <w:rStyle w:val="Refdecomentario"/>
        </w:rPr>
        <w:annotationRef/>
      </w:r>
      <w:r>
        <w:t>Should we add more refs here?</w:t>
      </w:r>
    </w:p>
  </w:comment>
  <w:comment w:id="3" w:author="Microsoft Office User" w:date="2018-10-19T12:40:00Z" w:initials="MOU">
    <w:p w14:paraId="16A86C37" w14:textId="564C4A74" w:rsidR="00072410" w:rsidRDefault="00072410">
      <w:pPr>
        <w:pStyle w:val="Textocomentario"/>
      </w:pPr>
      <w:r>
        <w:rPr>
          <w:rStyle w:val="Refdecomentario"/>
        </w:rPr>
        <w:annotationRef/>
      </w:r>
    </w:p>
  </w:comment>
  <w:comment w:id="8" w:author="Microsoft Office User" w:date="2018-12-16T17:49:00Z" w:initials="MOU">
    <w:p w14:paraId="34DF5524" w14:textId="69738E0C" w:rsidR="00072410" w:rsidRDefault="00072410">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072410" w:rsidRPr="0083154C" w:rsidRDefault="00072410"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072410" w:rsidRPr="0083154C" w:rsidRDefault="00072410"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072410" w:rsidRDefault="00072410" w:rsidP="0083154C">
      <w:pPr>
        <w:pStyle w:val="Textocomentario"/>
      </w:pPr>
      <w:r>
        <w:t xml:space="preserve">Peterson, Jordan B. </w:t>
      </w:r>
    </w:p>
    <w:p w14:paraId="6653E9BD" w14:textId="6DA86EE1" w:rsidR="00072410" w:rsidRDefault="00072410" w:rsidP="0083154C">
      <w:pPr>
        <w:pStyle w:val="Textocomentario"/>
      </w:pPr>
      <w:r>
        <w:t xml:space="preserve">Journal of Personality and Social Psychology. </w:t>
      </w:r>
      <w:r w:rsidRPr="0083154C">
        <w:t>2007</w:t>
      </w:r>
    </w:p>
    <w:p w14:paraId="71B28E65" w14:textId="10C384DA" w:rsidR="00072410" w:rsidRDefault="00072410" w:rsidP="0083154C">
      <w:pPr>
        <w:pStyle w:val="Textocomentario"/>
      </w:pPr>
      <w:r>
        <w:t xml:space="preserve">93, 5, </w:t>
      </w:r>
      <w:r w:rsidRPr="0083154C">
        <w:t>880-896</w:t>
      </w:r>
    </w:p>
    <w:p w14:paraId="02C7E115" w14:textId="77777777" w:rsidR="00072410" w:rsidRDefault="00072410" w:rsidP="0083154C">
      <w:pPr>
        <w:pStyle w:val="Textocomentario"/>
      </w:pPr>
    </w:p>
  </w:comment>
  <w:comment w:id="10" w:author="Victor Rouco" w:date="2020-04-06T18:14:00Z" w:initials="VR">
    <w:p w14:paraId="6BBE3290" w14:textId="77777777" w:rsidR="00072410" w:rsidRDefault="00072410">
      <w:pPr>
        <w:pStyle w:val="Textocomentario"/>
      </w:pPr>
      <w:r>
        <w:rPr>
          <w:rStyle w:val="Refdecomentario"/>
        </w:rPr>
        <w:annotationRef/>
      </w:r>
      <w:r>
        <w:t>Need to state page in the ref</w:t>
      </w:r>
    </w:p>
    <w:p w14:paraId="3820627F" w14:textId="485E7BBF" w:rsidR="00072410" w:rsidRDefault="00072410">
      <w:pPr>
        <w:pStyle w:val="Textocomentario"/>
      </w:pPr>
    </w:p>
  </w:comment>
  <w:comment w:id="11" w:author="Victor Rouco" w:date="2020-04-06T18:23:00Z" w:initials="VR">
    <w:p w14:paraId="718413CF" w14:textId="503EF7DC" w:rsidR="00072410" w:rsidRDefault="00072410">
      <w:pPr>
        <w:pStyle w:val="Textocomentario"/>
      </w:pPr>
      <w:r>
        <w:rPr>
          <w:rStyle w:val="Refdecomentario"/>
        </w:rPr>
        <w:annotationRef/>
      </w:r>
      <w:r>
        <w:t>I think this can be trimmed out</w:t>
      </w:r>
    </w:p>
    <w:p w14:paraId="66914555" w14:textId="65F134D1" w:rsidR="00072410" w:rsidRDefault="00072410">
      <w:pPr>
        <w:pStyle w:val="Textocomentario"/>
      </w:pPr>
    </w:p>
  </w:comment>
  <w:comment w:id="12" w:author="Victor Rouco" w:date="2020-04-08T15:07:00Z" w:initials="VR">
    <w:p w14:paraId="53A0A08B" w14:textId="3D2F376D" w:rsidR="00072410" w:rsidRDefault="00072410">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3" w:author="Microsoft Office User" w:date="2018-10-19T19:40:00Z" w:initials="MOU">
    <w:p w14:paraId="3B89F78A" w14:textId="77777777" w:rsidR="00072410" w:rsidRDefault="00072410" w:rsidP="00253E95">
      <w:pPr>
        <w:pStyle w:val="Textocomentario"/>
      </w:pPr>
      <w:r>
        <w:rPr>
          <w:rStyle w:val="Refdecomentario"/>
        </w:rPr>
        <w:annotationRef/>
      </w:r>
      <w:r>
        <w:t>Not in the reference table</w:t>
      </w:r>
    </w:p>
    <w:p w14:paraId="36EA4705" w14:textId="77777777" w:rsidR="00072410" w:rsidRDefault="00072410" w:rsidP="00253E95">
      <w:pPr>
        <w:pStyle w:val="Textocomentario"/>
      </w:pPr>
    </w:p>
  </w:comment>
  <w:comment w:id="14" w:author="Victor Rouco" w:date="2020-04-06T18:27:00Z" w:initials="VR">
    <w:p w14:paraId="73875C98" w14:textId="37CE26B4" w:rsidR="00072410" w:rsidRDefault="00072410">
      <w:pPr>
        <w:pStyle w:val="Textocomentario"/>
      </w:pPr>
      <w:r>
        <w:rPr>
          <w:rStyle w:val="Refdecomentario"/>
        </w:rPr>
        <w:annotationRef/>
      </w:r>
      <w:r>
        <w:t>ref</w:t>
      </w:r>
    </w:p>
  </w:comment>
  <w:comment w:id="15" w:author="Microsoft Office User" w:date="2018-12-13T16:54:00Z" w:initials="MOU">
    <w:p w14:paraId="5789F48B" w14:textId="77777777" w:rsidR="00072410" w:rsidRDefault="00072410" w:rsidP="004139F0">
      <w:pPr>
        <w:pStyle w:val="Textocomentario"/>
      </w:pPr>
      <w:r>
        <w:rPr>
          <w:rStyle w:val="Refdecomentario"/>
        </w:rPr>
        <w:annotationRef/>
      </w:r>
      <w:r>
        <w:t xml:space="preserve">Chen, F. F., Hayes, A., Carver, C. S., </w:t>
      </w:r>
      <w:proofErr w:type="spellStart"/>
      <w:r>
        <w:t>Laurenceau</w:t>
      </w:r>
      <w:proofErr w:type="spellEnd"/>
      <w:r>
        <w:t>, J.-P., &amp;</w:t>
      </w:r>
    </w:p>
    <w:p w14:paraId="62775C13" w14:textId="77777777" w:rsidR="00072410" w:rsidRDefault="00072410" w:rsidP="004139F0">
      <w:pPr>
        <w:pStyle w:val="Textocomentario"/>
      </w:pPr>
      <w:r>
        <w:t xml:space="preserve">Zhang, Z. (2012). Modeling general and specific </w:t>
      </w:r>
      <w:proofErr w:type="spellStart"/>
      <w:r>
        <w:t>vari</w:t>
      </w:r>
      <w:proofErr w:type="spellEnd"/>
      <w:r>
        <w:t>-</w:t>
      </w:r>
    </w:p>
    <w:p w14:paraId="18142E1B" w14:textId="77777777" w:rsidR="00072410" w:rsidRDefault="00072410" w:rsidP="004139F0">
      <w:pPr>
        <w:pStyle w:val="Textocomentario"/>
      </w:pPr>
      <w:proofErr w:type="spellStart"/>
      <w:r>
        <w:t>ance</w:t>
      </w:r>
      <w:proofErr w:type="spellEnd"/>
      <w:r>
        <w:t xml:space="preserve"> in multifaceted constructs: A comparison of the</w:t>
      </w:r>
    </w:p>
    <w:p w14:paraId="5939762F" w14:textId="77777777" w:rsidR="00072410" w:rsidRDefault="00072410" w:rsidP="004139F0">
      <w:pPr>
        <w:pStyle w:val="Textocomentario"/>
      </w:pPr>
      <w:r>
        <w:t>bifactor model to other approaches. Journal of Person-</w:t>
      </w:r>
    </w:p>
    <w:p w14:paraId="0C77C1A5" w14:textId="77777777" w:rsidR="00072410" w:rsidRDefault="00072410" w:rsidP="004139F0">
      <w:pPr>
        <w:pStyle w:val="Textocomentario"/>
      </w:pPr>
      <w:proofErr w:type="spellStart"/>
      <w:r>
        <w:t>ality</w:t>
      </w:r>
      <w:proofErr w:type="spellEnd"/>
      <w:r>
        <w:t>, 80, 219–251.</w:t>
      </w:r>
    </w:p>
    <w:p w14:paraId="694C7EE0" w14:textId="77777777" w:rsidR="00072410" w:rsidRDefault="00072410" w:rsidP="004139F0">
      <w:pPr>
        <w:pStyle w:val="Textocomentario"/>
      </w:pPr>
    </w:p>
    <w:p w14:paraId="36AC5076" w14:textId="77777777" w:rsidR="00072410" w:rsidRPr="00271BDB" w:rsidRDefault="00072410"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3897F576" w14:textId="1E285FBD" w:rsidR="00072410" w:rsidRDefault="00072410">
      <w:pPr>
        <w:pStyle w:val="Textocomentario"/>
      </w:pPr>
      <w:r>
        <w:rPr>
          <w:rStyle w:val="Refdecomentario"/>
        </w:rPr>
        <w:annotationRef/>
      </w:r>
      <w:r>
        <w:t xml:space="preserve">Possibly state here the </w:t>
      </w:r>
      <w:proofErr w:type="gramStart"/>
      <w:r>
        <w:t>hypothesis?</w:t>
      </w:r>
      <w:proofErr w:type="gramEnd"/>
      <w:r>
        <w:t xml:space="preserve"> Although at this </w:t>
      </w:r>
      <w:proofErr w:type="gramStart"/>
      <w:r>
        <w:t>point</w:t>
      </w:r>
      <w:proofErr w:type="gramEnd"/>
      <w:r>
        <w:t xml:space="preserve"> we theoretically don’t know the set of facets recovered</w:t>
      </w:r>
    </w:p>
  </w:comment>
  <w:comment w:id="19" w:author="Victor Rouco" w:date="2020-04-08T14:57:00Z" w:initials="VR">
    <w:p w14:paraId="08DBD9E8" w14:textId="0707A59E" w:rsidR="00072410" w:rsidRDefault="00072410">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072410" w:rsidRDefault="00072410">
      <w:pPr>
        <w:pStyle w:val="Textocomentario"/>
      </w:pPr>
      <w:r>
        <w:rPr>
          <w:rStyle w:val="Refdecomentario"/>
        </w:rPr>
        <w:annotationRef/>
      </w:r>
      <w:r>
        <w:t>Same as above</w:t>
      </w:r>
    </w:p>
  </w:comment>
  <w:comment w:id="21" w:author="Victor Rouco" w:date="2020-04-20T14:44:00Z" w:initials="VR">
    <w:p w14:paraId="7C0EEF36" w14:textId="68FCD1CA" w:rsidR="00072410" w:rsidRDefault="00072410">
      <w:pPr>
        <w:pStyle w:val="Textocomentario"/>
      </w:pPr>
      <w:r>
        <w:rPr>
          <w:rStyle w:val="Refdecomentario"/>
        </w:rPr>
        <w:annotationRef/>
      </w:r>
      <w:r>
        <w:t>Not in references</w:t>
      </w:r>
    </w:p>
  </w:comment>
  <w:comment w:id="22" w:author="Victor Rouco" w:date="2020-04-20T14:44:00Z" w:initials="VR">
    <w:p w14:paraId="300FDBD1" w14:textId="77777777" w:rsidR="00072410" w:rsidRDefault="00072410" w:rsidP="0075781F">
      <w:pPr>
        <w:pStyle w:val="Textocomentario"/>
      </w:pPr>
      <w:r>
        <w:rPr>
          <w:rStyle w:val="Refdecomentario"/>
        </w:rPr>
        <w:annotationRef/>
      </w:r>
      <w:r>
        <w:t>Not in references</w:t>
      </w:r>
    </w:p>
  </w:comment>
  <w:comment w:id="23" w:author="Victor Rouco" w:date="2020-04-20T14:44:00Z" w:initials="VR">
    <w:p w14:paraId="0EC52967" w14:textId="087E3A2C" w:rsidR="00072410" w:rsidRDefault="00072410">
      <w:pPr>
        <w:pStyle w:val="Textocomentario"/>
      </w:pPr>
      <w:r>
        <w:rPr>
          <w:rStyle w:val="Refdecomentario"/>
        </w:rPr>
        <w:annotationRef/>
      </w:r>
      <w:r>
        <w:t>Not in references</w:t>
      </w:r>
    </w:p>
  </w:comment>
  <w:comment w:id="29" w:author="Matthias Ziegler" w:date="2018-10-11T18:40:00Z" w:initials="MZ">
    <w:p w14:paraId="64564D9E" w14:textId="4FDBF892" w:rsidR="00072410" w:rsidRDefault="00072410">
      <w:pPr>
        <w:pStyle w:val="Textocomentario"/>
      </w:pPr>
      <w:r>
        <w:rPr>
          <w:rStyle w:val="Refdecomentario"/>
        </w:rPr>
        <w:annotationRef/>
      </w:r>
      <w:r>
        <w:t xml:space="preserve">We need to state </w:t>
      </w:r>
      <w:proofErr w:type="gramStart"/>
      <w:r>
        <w:t>them</w:t>
      </w:r>
      <w:proofErr w:type="gramEnd"/>
      <w:r>
        <w:t xml:space="preserve"> nonetheless. </w:t>
      </w:r>
    </w:p>
  </w:comment>
  <w:comment w:id="30" w:author="Microsoft Office User" w:date="2018-10-22T21:07:00Z" w:initials="MOU">
    <w:p w14:paraId="45424A8D" w14:textId="3EFA4061" w:rsidR="00072410" w:rsidRDefault="00072410">
      <w:pPr>
        <w:pStyle w:val="Textocomentario"/>
      </w:pPr>
      <w:r>
        <w:rPr>
          <w:rStyle w:val="Refdecomentario"/>
        </w:rPr>
        <w:annotationRef/>
      </w:r>
      <w:r>
        <w:t>I don’t have the info. May the ETS home reviewer?</w:t>
      </w:r>
    </w:p>
  </w:comment>
  <w:comment w:id="31" w:author="Matthias Ziegler [2]" w:date="2018-11-02T11:58:00Z" w:initials="MZ">
    <w:p w14:paraId="5F3CB4A6" w14:textId="00B3652D" w:rsidR="00072410" w:rsidRDefault="00072410">
      <w:pPr>
        <w:pStyle w:val="Textocomentario"/>
      </w:pPr>
      <w:r>
        <w:rPr>
          <w:rStyle w:val="Refdecomentario"/>
        </w:rPr>
        <w:annotationRef/>
      </w:r>
      <w:r>
        <w:t xml:space="preserve">Can you check the </w:t>
      </w:r>
      <w:proofErr w:type="spellStart"/>
      <w:r>
        <w:t>MacCann</w:t>
      </w:r>
      <w:proofErr w:type="spellEnd"/>
      <w:r>
        <w:t xml:space="preserve"> paper?</w:t>
      </w:r>
    </w:p>
  </w:comment>
  <w:comment w:id="32" w:author="Microsoft Office User" w:date="2018-12-13T13:15:00Z" w:initials="MOU">
    <w:p w14:paraId="10FDEF04" w14:textId="0B9F63FD" w:rsidR="00072410" w:rsidRDefault="00072410">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0" w:author="Victor Rouco" w:date="2020-04-13T16:21:00Z" w:initials="VR">
    <w:p w14:paraId="7F1F10C9" w14:textId="77777777" w:rsidR="00072410" w:rsidRPr="00721101" w:rsidRDefault="00072410"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072410" w:rsidRDefault="00072410">
      <w:pPr>
        <w:pStyle w:val="Textocomentario"/>
      </w:pPr>
    </w:p>
  </w:comment>
  <w:comment w:id="41" w:author="Victor Rouco" w:date="2020-04-13T16:33:00Z" w:initials="VR">
    <w:p w14:paraId="6E930DE5" w14:textId="3C676990" w:rsidR="00072410" w:rsidRDefault="00072410">
      <w:pPr>
        <w:pStyle w:val="Textocomentario"/>
      </w:pPr>
      <w:r>
        <w:rPr>
          <w:rStyle w:val="Refdecomentario"/>
        </w:rPr>
        <w:annotationRef/>
      </w:r>
      <w:r>
        <w:t>Explore why eigenvalues. And add this to the procedure</w:t>
      </w:r>
    </w:p>
  </w:comment>
  <w:comment w:id="43" w:author="Victor Rouco" w:date="2020-04-06T19:16:00Z" w:initials="VR">
    <w:p w14:paraId="1322747E" w14:textId="77777777" w:rsidR="00072410" w:rsidRDefault="00072410" w:rsidP="0066150A">
      <w:pPr>
        <w:pStyle w:val="Textocomentario"/>
      </w:pPr>
      <w:r>
        <w:rPr>
          <w:rStyle w:val="Refdecomentario"/>
        </w:rPr>
        <w:annotationRef/>
      </w:r>
      <w:r>
        <w:t>Revise this</w:t>
      </w:r>
    </w:p>
  </w:comment>
  <w:comment w:id="44" w:author="Victor Rouco" w:date="2020-04-06T19:15:00Z" w:initials="VR">
    <w:p w14:paraId="20731F80" w14:textId="77777777" w:rsidR="00072410" w:rsidRDefault="00072410" w:rsidP="00356CD3">
      <w:pPr>
        <w:pStyle w:val="Textocomentario"/>
      </w:pPr>
      <w:r>
        <w:rPr>
          <w:rStyle w:val="Refdecomentario"/>
        </w:rPr>
        <w:annotationRef/>
      </w:r>
      <w:r>
        <w:t>Revise these and provide the actual cut-offs</w:t>
      </w:r>
    </w:p>
  </w:comment>
  <w:comment w:id="45" w:author="Victor Rouco" w:date="2020-04-14T15:20:00Z" w:initials="VR">
    <w:p w14:paraId="412A6248" w14:textId="5363B0A4" w:rsidR="00072410" w:rsidRDefault="00072410">
      <w:pPr>
        <w:pStyle w:val="Textocomentario"/>
      </w:pPr>
      <w:r>
        <w:rPr>
          <w:rStyle w:val="Refdecomentario"/>
        </w:rPr>
        <w:annotationRef/>
      </w:r>
      <w:r>
        <w:t>I am not sure how did you get to this solution.  According to model fit indicators the more facets the better.</w:t>
      </w:r>
      <w:r>
        <w:br/>
        <w:t>Was it to ensure that each facet had &gt;3 indicators?</w:t>
      </w:r>
    </w:p>
  </w:comment>
  <w:comment w:id="46" w:author="Victor Rouco" w:date="2020-04-14T14:23:00Z" w:initials="VR">
    <w:p w14:paraId="37568AF9" w14:textId="4E37E8B7" w:rsidR="00072410" w:rsidRDefault="00072410">
      <w:pPr>
        <w:pStyle w:val="Textocomentario"/>
      </w:pPr>
      <w:r>
        <w:rPr>
          <w:rStyle w:val="Refdecomentario"/>
        </w:rPr>
        <w:annotationRef/>
      </w:r>
      <w:r>
        <w:t xml:space="preserve">Before, this yielded all 8s. It was because the default argument (which fixed the maximum number of components to 8) was not </w:t>
      </w:r>
      <w:proofErr w:type="spellStart"/>
      <w:r>
        <w:t>overrided</w:t>
      </w:r>
      <w:proofErr w:type="spellEnd"/>
      <w:r>
        <w:t xml:space="preserve"> in psych. I extended it to 20 and had these results</w:t>
      </w:r>
    </w:p>
  </w:comment>
  <w:comment w:id="47" w:author="Victor Rouco" w:date="2020-04-16T15:02:00Z" w:initials="VR">
    <w:p w14:paraId="1C615857" w14:textId="03AC2700" w:rsidR="00072410" w:rsidRDefault="00072410">
      <w:pPr>
        <w:pStyle w:val="Textocomentario"/>
      </w:pPr>
      <w:r>
        <w:rPr>
          <w:rStyle w:val="Refdecomentario"/>
        </w:rPr>
        <w:annotationRef/>
      </w:r>
      <w:r>
        <w:t xml:space="preserve">It is incongruent that </w:t>
      </w:r>
      <w:proofErr w:type="spellStart"/>
      <w:r>
        <w:t>crybabiness</w:t>
      </w:r>
      <w:proofErr w:type="spellEnd"/>
      <w:r>
        <w:t xml:space="preserve"> and the other three facets which were excluded after not loading in the ESEM are not present here.</w:t>
      </w:r>
    </w:p>
  </w:comment>
  <w:comment w:id="48" w:author="Victor Rouco" w:date="2020-04-20T14:21:00Z" w:initials="VR">
    <w:p w14:paraId="6147FB9A" w14:textId="46C8623D" w:rsidR="00072410" w:rsidRDefault="00072410">
      <w:pPr>
        <w:pStyle w:val="Textocomentario"/>
      </w:pPr>
      <w:r>
        <w:rPr>
          <w:rStyle w:val="Refdecomentario"/>
        </w:rPr>
        <w:annotationRef/>
      </w:r>
      <w:r>
        <w:t>Should I include a sample item?</w:t>
      </w:r>
    </w:p>
  </w:comment>
  <w:comment w:id="49" w:author="Victor Rouco" w:date="2020-04-20T17:57:00Z" w:initials="VR">
    <w:p w14:paraId="18D9C41D" w14:textId="74D56473" w:rsidR="00072410" w:rsidRDefault="00072410">
      <w:pPr>
        <w:pStyle w:val="Textocomentario"/>
      </w:pPr>
      <w:r>
        <w:rPr>
          <w:rStyle w:val="Refdecomentario"/>
        </w:rPr>
        <w:annotationRef/>
      </w:r>
      <w:r>
        <w:t>Use same names all along</w:t>
      </w:r>
    </w:p>
  </w:comment>
  <w:comment w:id="50" w:author="Victor Rouco" w:date="2020-04-17T14:38:00Z" w:initials="VR">
    <w:p w14:paraId="4EF24EDF" w14:textId="08E40091" w:rsidR="00072410" w:rsidRDefault="00072410">
      <w:pPr>
        <w:pStyle w:val="Textocomentario"/>
      </w:pPr>
      <w:r>
        <w:rPr>
          <w:rStyle w:val="Refdecomentario"/>
        </w:rPr>
        <w:annotationRef/>
      </w:r>
      <w:r>
        <w:t>O2 is not here</w:t>
      </w:r>
    </w:p>
  </w:comment>
  <w:comment w:id="52" w:author="Victor Rouco [2]" w:date="2019-03-18T16:44:00Z" w:initials="VR">
    <w:p w14:paraId="36133AF8" w14:textId="77777777" w:rsidR="00072410" w:rsidRDefault="00072410"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072410" w:rsidRDefault="00072410" w:rsidP="00456E3A">
      <w:pPr>
        <w:pStyle w:val="Textocomentario"/>
      </w:pPr>
      <w:r>
        <w:t xml:space="preserve">Also, the scores are only integers from 1 to 6. </w:t>
      </w:r>
      <w:proofErr w:type="spellStart"/>
      <w:r>
        <w:t>lm</w:t>
      </w:r>
      <w:proofErr w:type="spellEnd"/>
      <w:r>
        <w:t xml:space="preserve"> plots suggest </w:t>
      </w:r>
      <w:proofErr w:type="gramStart"/>
      <w:r>
        <w:t>to try</w:t>
      </w:r>
      <w:proofErr w:type="gramEnd"/>
      <w:r>
        <w:t xml:space="preserve">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072410" w:rsidRDefault="00072410" w:rsidP="00456E3A">
      <w:pPr>
        <w:pStyle w:val="Textocomentario"/>
      </w:pPr>
      <w:r>
        <w:t xml:space="preserve">Maybe it’s easier to omit all college </w:t>
      </w:r>
      <w:proofErr w:type="spellStart"/>
      <w:r>
        <w:t>gpa</w:t>
      </w:r>
      <w:proofErr w:type="spellEnd"/>
      <w:r>
        <w:t xml:space="preserve"> data?</w:t>
      </w:r>
    </w:p>
  </w:comment>
  <w:comment w:id="53" w:author="Victor Rouco" w:date="2020-04-13T16:42:00Z" w:initials="VR">
    <w:p w14:paraId="0F6BE9C8" w14:textId="3ACDA69D" w:rsidR="00072410" w:rsidRDefault="00072410">
      <w:pPr>
        <w:pStyle w:val="Textocomentario"/>
      </w:pPr>
      <w:r>
        <w:rPr>
          <w:rStyle w:val="Refdecomentario"/>
        </w:rPr>
        <w:annotationRef/>
      </w:r>
      <w:r>
        <w:t>Yes, and also for absences. Round to 2 decimals</w:t>
      </w:r>
    </w:p>
  </w:comment>
  <w:comment w:id="57" w:author="Victor Rouco" w:date="2020-04-16T15:05:00Z" w:initials="VR">
    <w:p w14:paraId="79691708" w14:textId="539BC782" w:rsidR="00072410" w:rsidRDefault="00072410">
      <w:pPr>
        <w:pStyle w:val="Textocomentario"/>
      </w:pPr>
      <w:r>
        <w:rPr>
          <w:rStyle w:val="Refdecomentario"/>
        </w:rPr>
        <w:annotationRef/>
      </w:r>
      <w:r>
        <w:t>I have only 37 based on ESEM</w:t>
      </w:r>
    </w:p>
  </w:comment>
  <w:comment w:id="58" w:author="Matthias Ziegler [2]" w:date="2019-01-16T20:44:00Z" w:initials="MZ">
    <w:p w14:paraId="25E559CB" w14:textId="5E533D4F" w:rsidR="00072410" w:rsidRDefault="00072410">
      <w:pPr>
        <w:pStyle w:val="Textocomentario"/>
      </w:pPr>
      <w:r>
        <w:rPr>
          <w:rStyle w:val="Refdecomentario"/>
        </w:rPr>
        <w:annotationRef/>
      </w:r>
      <w:r>
        <w:t xml:space="preserve">I’d say this is </w:t>
      </w:r>
      <w:proofErr w:type="gramStart"/>
      <w:r>
        <w:t>assertiveness?</w:t>
      </w:r>
      <w:proofErr w:type="gramEnd"/>
    </w:p>
  </w:comment>
  <w:comment w:id="59" w:author="Victor Rouco [2]" w:date="2019-01-29T09:45:00Z" w:initials="VR">
    <w:p w14:paraId="1C625C1B" w14:textId="04743661" w:rsidR="00072410" w:rsidRPr="00156C03" w:rsidRDefault="00072410"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072410" w:rsidRDefault="00072410">
      <w:pPr>
        <w:pStyle w:val="Textocomentario"/>
      </w:pPr>
    </w:p>
  </w:comment>
  <w:comment w:id="60" w:author="Victor Rouco [2]" w:date="2019-03-15T15:41:00Z" w:initials="VR">
    <w:p w14:paraId="07A21592" w14:textId="0AEE8A56" w:rsidR="00072410" w:rsidRDefault="00072410">
      <w:pPr>
        <w:pStyle w:val="Textocomentario"/>
      </w:pPr>
      <w:r>
        <w:rPr>
          <w:rStyle w:val="Refdecomentario"/>
        </w:rPr>
        <w:annotationRef/>
      </w:r>
      <w:r>
        <w:t>Or maybe…</w:t>
      </w:r>
    </w:p>
    <w:p w14:paraId="7BEAF7A1" w14:textId="77777777" w:rsidR="00072410" w:rsidRDefault="00072410">
      <w:pPr>
        <w:pStyle w:val="Textocomentario"/>
      </w:pPr>
    </w:p>
    <w:p w14:paraId="584DB4A8" w14:textId="67FBF14D" w:rsidR="00072410" w:rsidRDefault="00072410">
      <w:pPr>
        <w:pStyle w:val="Textocomentario"/>
      </w:pPr>
      <w:proofErr w:type="gramStart"/>
      <w:r>
        <w:t>..</w:t>
      </w:r>
      <w:proofErr w:type="gramEnd"/>
      <w:r>
        <w:t xml:space="preserve">by fostering the research in a broader set of facets designed to tap the </w:t>
      </w:r>
      <w:proofErr w:type="spellStart"/>
      <w:r>
        <w:t>maladaptative</w:t>
      </w:r>
      <w:proofErr w:type="spellEnd"/>
      <w:r>
        <w:t xml:space="preserve"> end of the continuous constructs.</w:t>
      </w:r>
    </w:p>
  </w:comment>
  <w:comment w:id="61" w:author="Matthias Ziegler [2]" w:date="2018-11-02T11:53:00Z" w:initials="MZ">
    <w:p w14:paraId="4BD78C00" w14:textId="77777777" w:rsidR="00072410" w:rsidRDefault="00072410"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 w:id="62" w:author="Victor Rouco [2]" w:date="2019-01-29T09:46:00Z" w:initials="VR">
    <w:p w14:paraId="7956CE0C" w14:textId="4CEA4E9C" w:rsidR="00072410" w:rsidRDefault="00072410">
      <w:pPr>
        <w:pStyle w:val="Textocomentario"/>
      </w:pPr>
      <w:r>
        <w:rPr>
          <w:rStyle w:val="Refdecomentario"/>
        </w:rPr>
        <w:annotationRef/>
      </w:r>
      <w:r>
        <w:t xml:space="preserve">I guess we have to cut this </w:t>
      </w:r>
      <w:proofErr w:type="gramStart"/>
      <w:r>
        <w:t>out?</w:t>
      </w:r>
      <w:proofErr w:type="gramEnd"/>
      <w:r>
        <w:t xml:space="preserve"> Are you still thinking about </w:t>
      </w:r>
      <w:proofErr w:type="spellStart"/>
      <w:r>
        <w:t>psych.ass</w:t>
      </w:r>
      <w:proofErr w:type="spellEnd"/>
      <w:r>
        <w:t>.?</w:t>
      </w:r>
    </w:p>
  </w:comment>
  <w:comment w:id="63" w:author="Matthias Ziegler" w:date="2019-02-15T06:10:00Z" w:initials="MZ">
    <w:p w14:paraId="6361E5DF" w14:textId="4B883BEC" w:rsidR="00072410" w:rsidRDefault="00072410">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7C0EEF36" w15:done="0"/>
  <w15:commentEx w15:paraId="300FDBD1" w15:done="0"/>
  <w15:commentEx w15:paraId="0EC52967" w15:done="0"/>
  <w15:commentEx w15:paraId="64564D9E" w15:done="0"/>
  <w15:commentEx w15:paraId="45424A8D" w15:paraIdParent="64564D9E" w15:done="0"/>
  <w15:commentEx w15:paraId="5F3CB4A6" w15:paraIdParent="64564D9E" w15:done="0"/>
  <w15:commentEx w15:paraId="10FDEF04" w15:paraIdParent="64564D9E" w15:done="0"/>
  <w15:commentEx w15:paraId="554D5E99" w15:done="0"/>
  <w15:commentEx w15:paraId="6E930DE5" w15:paraIdParent="554D5E99" w15:done="0"/>
  <w15:commentEx w15:paraId="1322747E" w15:done="0"/>
  <w15:commentEx w15:paraId="20731F80" w15:done="0"/>
  <w15:commentEx w15:paraId="412A6248" w15:done="0"/>
  <w15:commentEx w15:paraId="37568AF9" w15:done="0"/>
  <w15:commentEx w15:paraId="1C615857" w15:done="0"/>
  <w15:commentEx w15:paraId="6147FB9A" w15:done="0"/>
  <w15:commentEx w15:paraId="18D9C41D" w15:done="0"/>
  <w15:commentEx w15:paraId="4EF24EDF" w15:done="0"/>
  <w15:commentEx w15:paraId="55340972" w15:done="0"/>
  <w15:commentEx w15:paraId="0F6BE9C8" w15:paraIdParent="55340972" w15:done="0"/>
  <w15:commentEx w15:paraId="79691708"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B5" w16cex:dateUtc="2020-04-20T12:44:00Z"/>
  <w16cex:commentExtensible w16cex:durableId="224833C4" w16cex:dateUtc="2020-04-20T12:44:00Z"/>
  <w16cex:commentExtensible w16cex:durableId="224833CB" w16cex:dateUtc="2020-04-20T12:44:00Z"/>
  <w16cex:commentExtensible w16cex:durableId="2242F20D" w16cex:dateUtc="2020-04-16T13:02:00Z"/>
  <w16cex:commentExtensible w16cex:durableId="22482E50" w16cex:dateUtc="2020-04-20T12:21:00Z"/>
  <w16cex:commentExtensible w16cex:durableId="22486120" w16cex:dateUtc="2020-04-20T15:57:00Z"/>
  <w16cex:commentExtensible w16cex:durableId="22443DEB" w16cex:dateUtc="2020-04-17T12:38:00Z"/>
  <w16cex:commentExtensible w16cex:durableId="2242F2AA" w16cex:dateUtc="2020-04-1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64564D9E" w16cid:durableId="1F6A17B1"/>
  <w16cid:commentId w16cid:paraId="45424A8D" w16cid:durableId="1F78BA83"/>
  <w16cid:commentId w16cid:paraId="5F3CB4A6" w16cid:durableId="1F86BA5D"/>
  <w16cid:commentId w16cid:paraId="10FDEF04" w16cid:durableId="1FBCD9DA"/>
  <w16cid:commentId w16cid:paraId="554D5E99" w16cid:durableId="223F100E"/>
  <w16cid:commentId w16cid:paraId="6E930DE5" w16cid:durableId="223F12E6"/>
  <w16cid:commentId w16cid:paraId="1322747E" w16cid:durableId="2235FE78"/>
  <w16cid:commentId w16cid:paraId="20731F80" w16cid:durableId="2235FE67"/>
  <w16cid:commentId w16cid:paraId="412A6248" w16cid:durableId="22405324"/>
  <w16cid:commentId w16cid:paraId="37568AF9" w16cid:durableId="224045C9"/>
  <w16cid:commentId w16cid:paraId="1C615857" w16cid:durableId="2242F20D"/>
  <w16cid:commentId w16cid:paraId="6147FB9A" w16cid:durableId="22482E50"/>
  <w16cid:commentId w16cid:paraId="18D9C41D" w16cid:durableId="22486120"/>
  <w16cid:commentId w16cid:paraId="4EF24EDF" w16cid:durableId="22443DEB"/>
  <w16cid:commentId w16cid:paraId="55340972" w16cid:durableId="2235E802"/>
  <w16cid:commentId w16cid:paraId="0F6BE9C8" w16cid:durableId="223F14E2"/>
  <w16cid:commentId w16cid:paraId="79691708" w16cid:durableId="2242F2AA"/>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90DEA" w14:textId="77777777" w:rsidR="00C26002" w:rsidRDefault="00C26002">
      <w:r>
        <w:separator/>
      </w:r>
    </w:p>
  </w:endnote>
  <w:endnote w:type="continuationSeparator" w:id="0">
    <w:p w14:paraId="2AADFB75" w14:textId="77777777" w:rsidR="00C26002" w:rsidRDefault="00C2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5C44C" w14:textId="77777777" w:rsidR="00C26002" w:rsidRDefault="00C26002">
      <w:r>
        <w:separator/>
      </w:r>
    </w:p>
  </w:footnote>
  <w:footnote w:type="continuationSeparator" w:id="0">
    <w:p w14:paraId="51DFB60E" w14:textId="77777777" w:rsidR="00C26002" w:rsidRDefault="00C26002">
      <w:r>
        <w:continuationSeparator/>
      </w:r>
    </w:p>
  </w:footnote>
  <w:footnote w:id="1">
    <w:p w14:paraId="420CA1C9" w14:textId="687925A3" w:rsidR="00072410" w:rsidRPr="00FF5824" w:rsidRDefault="00072410">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2A1C"/>
    <w:rsid w:val="000666B0"/>
    <w:rsid w:val="0007040D"/>
    <w:rsid w:val="00072410"/>
    <w:rsid w:val="00087BE9"/>
    <w:rsid w:val="000903CF"/>
    <w:rsid w:val="0009723C"/>
    <w:rsid w:val="000D5623"/>
    <w:rsid w:val="000E125A"/>
    <w:rsid w:val="000E22EE"/>
    <w:rsid w:val="00106295"/>
    <w:rsid w:val="00112F15"/>
    <w:rsid w:val="00115482"/>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412DA"/>
    <w:rsid w:val="00241EE9"/>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22F7"/>
    <w:rsid w:val="002E4B6B"/>
    <w:rsid w:val="002F60DC"/>
    <w:rsid w:val="00304FB2"/>
    <w:rsid w:val="003325B5"/>
    <w:rsid w:val="00335A7E"/>
    <w:rsid w:val="00350777"/>
    <w:rsid w:val="003537DF"/>
    <w:rsid w:val="00356CD3"/>
    <w:rsid w:val="00360DF3"/>
    <w:rsid w:val="00361A9D"/>
    <w:rsid w:val="0036250D"/>
    <w:rsid w:val="00380EA7"/>
    <w:rsid w:val="00381C95"/>
    <w:rsid w:val="003C2D61"/>
    <w:rsid w:val="003C6773"/>
    <w:rsid w:val="003F1036"/>
    <w:rsid w:val="003F27DB"/>
    <w:rsid w:val="00404141"/>
    <w:rsid w:val="004139F0"/>
    <w:rsid w:val="004224BC"/>
    <w:rsid w:val="00427EDE"/>
    <w:rsid w:val="00434255"/>
    <w:rsid w:val="00434CF1"/>
    <w:rsid w:val="00456E3A"/>
    <w:rsid w:val="00461D5D"/>
    <w:rsid w:val="004632F3"/>
    <w:rsid w:val="00471B8E"/>
    <w:rsid w:val="00474C94"/>
    <w:rsid w:val="004771CC"/>
    <w:rsid w:val="0048129A"/>
    <w:rsid w:val="00485490"/>
    <w:rsid w:val="00490818"/>
    <w:rsid w:val="00490AAA"/>
    <w:rsid w:val="004A672B"/>
    <w:rsid w:val="004B5B32"/>
    <w:rsid w:val="004B6C9B"/>
    <w:rsid w:val="004D3987"/>
    <w:rsid w:val="004E23B1"/>
    <w:rsid w:val="004E29B3"/>
    <w:rsid w:val="004E3634"/>
    <w:rsid w:val="004E62D9"/>
    <w:rsid w:val="004F5F8A"/>
    <w:rsid w:val="00504D82"/>
    <w:rsid w:val="00506FD2"/>
    <w:rsid w:val="00510FCA"/>
    <w:rsid w:val="0051459A"/>
    <w:rsid w:val="005370ED"/>
    <w:rsid w:val="0054068C"/>
    <w:rsid w:val="005470E4"/>
    <w:rsid w:val="00555F98"/>
    <w:rsid w:val="00557AEB"/>
    <w:rsid w:val="0056373E"/>
    <w:rsid w:val="00565C90"/>
    <w:rsid w:val="00573369"/>
    <w:rsid w:val="0057351A"/>
    <w:rsid w:val="0058762E"/>
    <w:rsid w:val="00590D07"/>
    <w:rsid w:val="005A2DA6"/>
    <w:rsid w:val="005A4A29"/>
    <w:rsid w:val="005B0EDF"/>
    <w:rsid w:val="005B24FA"/>
    <w:rsid w:val="005E00D7"/>
    <w:rsid w:val="005F326C"/>
    <w:rsid w:val="00621B9F"/>
    <w:rsid w:val="00624FA1"/>
    <w:rsid w:val="0062683B"/>
    <w:rsid w:val="00633156"/>
    <w:rsid w:val="00634B0A"/>
    <w:rsid w:val="00634D99"/>
    <w:rsid w:val="00641218"/>
    <w:rsid w:val="00644A11"/>
    <w:rsid w:val="006504A7"/>
    <w:rsid w:val="00660938"/>
    <w:rsid w:val="0066150A"/>
    <w:rsid w:val="00665169"/>
    <w:rsid w:val="006719BE"/>
    <w:rsid w:val="00673714"/>
    <w:rsid w:val="00680080"/>
    <w:rsid w:val="00681592"/>
    <w:rsid w:val="00687A22"/>
    <w:rsid w:val="006A3693"/>
    <w:rsid w:val="006B6805"/>
    <w:rsid w:val="006C04D0"/>
    <w:rsid w:val="006C5004"/>
    <w:rsid w:val="006E1B45"/>
    <w:rsid w:val="006F607D"/>
    <w:rsid w:val="007171BF"/>
    <w:rsid w:val="00721101"/>
    <w:rsid w:val="00723C73"/>
    <w:rsid w:val="007258C4"/>
    <w:rsid w:val="007371E8"/>
    <w:rsid w:val="00742470"/>
    <w:rsid w:val="007459BF"/>
    <w:rsid w:val="0075381B"/>
    <w:rsid w:val="0075781F"/>
    <w:rsid w:val="00767735"/>
    <w:rsid w:val="007752FA"/>
    <w:rsid w:val="007764FF"/>
    <w:rsid w:val="00783625"/>
    <w:rsid w:val="00784D58"/>
    <w:rsid w:val="00785079"/>
    <w:rsid w:val="00787DA6"/>
    <w:rsid w:val="007928AF"/>
    <w:rsid w:val="00795A0A"/>
    <w:rsid w:val="007A1F46"/>
    <w:rsid w:val="007A3D83"/>
    <w:rsid w:val="007B0AAD"/>
    <w:rsid w:val="007B2232"/>
    <w:rsid w:val="007B3609"/>
    <w:rsid w:val="007B549A"/>
    <w:rsid w:val="007D4134"/>
    <w:rsid w:val="007D49F1"/>
    <w:rsid w:val="007D569E"/>
    <w:rsid w:val="007D7252"/>
    <w:rsid w:val="007E1FFB"/>
    <w:rsid w:val="007E25C3"/>
    <w:rsid w:val="007F3668"/>
    <w:rsid w:val="007F4A57"/>
    <w:rsid w:val="00807E1F"/>
    <w:rsid w:val="0081039B"/>
    <w:rsid w:val="00825DB2"/>
    <w:rsid w:val="0083154C"/>
    <w:rsid w:val="00834235"/>
    <w:rsid w:val="00853EFE"/>
    <w:rsid w:val="008729EF"/>
    <w:rsid w:val="00885048"/>
    <w:rsid w:val="0088744A"/>
    <w:rsid w:val="008A476A"/>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7F25"/>
    <w:rsid w:val="00944CBB"/>
    <w:rsid w:val="00947A1E"/>
    <w:rsid w:val="0096561C"/>
    <w:rsid w:val="009725FD"/>
    <w:rsid w:val="009729D1"/>
    <w:rsid w:val="00991DD4"/>
    <w:rsid w:val="0099264D"/>
    <w:rsid w:val="00995094"/>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A2BDB"/>
    <w:rsid w:val="00AB2618"/>
    <w:rsid w:val="00AB4F4D"/>
    <w:rsid w:val="00AD51AF"/>
    <w:rsid w:val="00AD587A"/>
    <w:rsid w:val="00AE3331"/>
    <w:rsid w:val="00AE3CD9"/>
    <w:rsid w:val="00AE4A9C"/>
    <w:rsid w:val="00AE6C13"/>
    <w:rsid w:val="00AE7409"/>
    <w:rsid w:val="00AF741B"/>
    <w:rsid w:val="00B00289"/>
    <w:rsid w:val="00B036BC"/>
    <w:rsid w:val="00B20001"/>
    <w:rsid w:val="00B2199A"/>
    <w:rsid w:val="00B272EF"/>
    <w:rsid w:val="00B372E8"/>
    <w:rsid w:val="00B43D5F"/>
    <w:rsid w:val="00B5773A"/>
    <w:rsid w:val="00B645B9"/>
    <w:rsid w:val="00B80CE1"/>
    <w:rsid w:val="00B865DC"/>
    <w:rsid w:val="00B86B75"/>
    <w:rsid w:val="00B96569"/>
    <w:rsid w:val="00BA45DA"/>
    <w:rsid w:val="00BB01D6"/>
    <w:rsid w:val="00BB13FB"/>
    <w:rsid w:val="00BC48D5"/>
    <w:rsid w:val="00BD4C60"/>
    <w:rsid w:val="00BE351D"/>
    <w:rsid w:val="00BE66AD"/>
    <w:rsid w:val="00BF4DEB"/>
    <w:rsid w:val="00C26002"/>
    <w:rsid w:val="00C36279"/>
    <w:rsid w:val="00C377B4"/>
    <w:rsid w:val="00C5233A"/>
    <w:rsid w:val="00C6049B"/>
    <w:rsid w:val="00C65491"/>
    <w:rsid w:val="00C74EA2"/>
    <w:rsid w:val="00C80166"/>
    <w:rsid w:val="00C80556"/>
    <w:rsid w:val="00C816CC"/>
    <w:rsid w:val="00C86C20"/>
    <w:rsid w:val="00C93D6C"/>
    <w:rsid w:val="00C96047"/>
    <w:rsid w:val="00CB33DC"/>
    <w:rsid w:val="00CC740D"/>
    <w:rsid w:val="00CD3468"/>
    <w:rsid w:val="00CE0A7D"/>
    <w:rsid w:val="00CE68BB"/>
    <w:rsid w:val="00CF55B0"/>
    <w:rsid w:val="00D3331E"/>
    <w:rsid w:val="00D600A0"/>
    <w:rsid w:val="00D842EC"/>
    <w:rsid w:val="00D86142"/>
    <w:rsid w:val="00D86847"/>
    <w:rsid w:val="00D87DDE"/>
    <w:rsid w:val="00D94D14"/>
    <w:rsid w:val="00D96001"/>
    <w:rsid w:val="00DA6AE7"/>
    <w:rsid w:val="00DA7AD1"/>
    <w:rsid w:val="00DB1AF7"/>
    <w:rsid w:val="00DB5458"/>
    <w:rsid w:val="00DC1293"/>
    <w:rsid w:val="00DC4EED"/>
    <w:rsid w:val="00DD03FB"/>
    <w:rsid w:val="00DE0639"/>
    <w:rsid w:val="00DF78A7"/>
    <w:rsid w:val="00E0412F"/>
    <w:rsid w:val="00E047FE"/>
    <w:rsid w:val="00E2272D"/>
    <w:rsid w:val="00E229D7"/>
    <w:rsid w:val="00E26566"/>
    <w:rsid w:val="00E315A3"/>
    <w:rsid w:val="00E37548"/>
    <w:rsid w:val="00E37E95"/>
    <w:rsid w:val="00E459C2"/>
    <w:rsid w:val="00E51A03"/>
    <w:rsid w:val="00E6059F"/>
    <w:rsid w:val="00E64175"/>
    <w:rsid w:val="00E846DA"/>
    <w:rsid w:val="00E8492B"/>
    <w:rsid w:val="00E906E3"/>
    <w:rsid w:val="00E92AF2"/>
    <w:rsid w:val="00EA382D"/>
    <w:rsid w:val="00EB2AE1"/>
    <w:rsid w:val="00EB78C8"/>
    <w:rsid w:val="00EC1ED3"/>
    <w:rsid w:val="00EC242A"/>
    <w:rsid w:val="00ED09B2"/>
    <w:rsid w:val="00ED2C20"/>
    <w:rsid w:val="00ED4761"/>
    <w:rsid w:val="00EE045B"/>
    <w:rsid w:val="00EE50B0"/>
    <w:rsid w:val="00F02F76"/>
    <w:rsid w:val="00F17C5F"/>
    <w:rsid w:val="00F30195"/>
    <w:rsid w:val="00F40470"/>
    <w:rsid w:val="00F50E95"/>
    <w:rsid w:val="00F54F72"/>
    <w:rsid w:val="00F556BC"/>
    <w:rsid w:val="00F568DE"/>
    <w:rsid w:val="00F63A0C"/>
    <w:rsid w:val="00F7022D"/>
    <w:rsid w:val="00F72EBA"/>
    <w:rsid w:val="00F81A87"/>
    <w:rsid w:val="00F9124C"/>
    <w:rsid w:val="00FA062C"/>
    <w:rsid w:val="00FA0FBB"/>
    <w:rsid w:val="00FA7D71"/>
    <w:rsid w:val="00FB0A97"/>
    <w:rsid w:val="00FC0D75"/>
    <w:rsid w:val="00FC5A68"/>
    <w:rsid w:val="00FD6368"/>
    <w:rsid w:val="00FE0C39"/>
    <w:rsid w:val="00FE0EAC"/>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SICI)1099-0984(199612)10:5%3c405::AID-PER255%3e3.0.CO;2-M" TargetMode="External"/><Relationship Id="rId21" Type="http://schemas.openxmlformats.org/officeDocument/2006/relationships/hyperlink" Target="https://doi.org/10.1016/S0092-6566(02)00578-0" TargetMode="External"/><Relationship Id="rId42" Type="http://schemas.openxmlformats.org/officeDocument/2006/relationships/hyperlink" Target="https://doi.org/10.1177/1073191116659134" TargetMode="External"/><Relationship Id="rId47" Type="http://schemas.openxmlformats.org/officeDocument/2006/relationships/hyperlink" Target="https://doi.org/10.1016/j.lindif.2009.03.007" TargetMode="External"/><Relationship Id="rId63" Type="http://schemas.openxmlformats.org/officeDocument/2006/relationships/hyperlink" Target="https://doi.org/10.1111/1467-6494.00142" TargetMode="External"/><Relationship Id="rId68" Type="http://schemas.openxmlformats.org/officeDocument/2006/relationships/hyperlink" Target="https://doi.org/10.1177/0734282911406661" TargetMode="External"/><Relationship Id="rId84" Type="http://schemas.microsoft.com/office/2011/relationships/people" Target="people.xml"/><Relationship Id="rId16" Type="http://schemas.openxmlformats.org/officeDocument/2006/relationships/hyperlink" Target="https://doi.org/10.1016/0022-3999(94)90006-X" TargetMode="External"/><Relationship Id="rId11" Type="http://schemas.microsoft.com/office/2018/08/relationships/commentsExtensible" Target="commentsExtensible.xml"/><Relationship Id="rId32" Type="http://schemas.openxmlformats.org/officeDocument/2006/relationships/hyperlink" Target="https://doi.org/10.1037/11352-058" TargetMode="External"/><Relationship Id="rId37" Type="http://schemas.openxmlformats.org/officeDocument/2006/relationships/hyperlink" Target="https://doi.org/10.1007/BF02289447" TargetMode="External"/><Relationship Id="rId53" Type="http://schemas.openxmlformats.org/officeDocument/2006/relationships/hyperlink" Target="https://doi.org/10.1177/1088868310366253.Internal" TargetMode="External"/><Relationship Id="rId58" Type="http://schemas.openxmlformats.org/officeDocument/2006/relationships/hyperlink" Target="https://doi.org/10.1146/annurev.psych.57.102904.190127" TargetMode="External"/><Relationship Id="rId74" Type="http://schemas.openxmlformats.org/officeDocument/2006/relationships/hyperlink" Target="https://doi.org/10.17605/OSF.IO/U65GB" TargetMode="External"/><Relationship Id="rId79" Type="http://schemas.openxmlformats.org/officeDocument/2006/relationships/hyperlink" Target="https://doi.org/10.1016/j.paid.2006.04.003" TargetMode="External"/><Relationship Id="rId5" Type="http://schemas.openxmlformats.org/officeDocument/2006/relationships/webSettings" Target="webSettings.xml"/><Relationship Id="rId19" Type="http://schemas.openxmlformats.org/officeDocument/2006/relationships/hyperlink" Target="https://doi.org/10.1177/0013916514554695" TargetMode="External"/><Relationship Id="rId14" Type="http://schemas.openxmlformats.org/officeDocument/2006/relationships/hyperlink" Target="https://doi.org/10.1080/10705510903008204" TargetMode="External"/><Relationship Id="rId22" Type="http://schemas.openxmlformats.org/officeDocument/2006/relationships/hyperlink" Target="https://doi.org/10.1080/10705510701301834" TargetMode="External"/><Relationship Id="rId27" Type="http://schemas.openxmlformats.org/officeDocument/2006/relationships/hyperlink" Target="https://doi.org/10.1037/0022-3514.93.5.880" TargetMode="External"/><Relationship Id="rId30" Type="http://schemas.openxmlformats.org/officeDocument/2006/relationships/hyperlink" Target="https://doi.org/10.1146/annurev.ps.41.020190.002221" TargetMode="External"/><Relationship Id="rId35" Type="http://schemas.openxmlformats.org/officeDocument/2006/relationships/hyperlink" Target="https://doi.org/10.1016/j.jrp.2005.08.007" TargetMode="External"/><Relationship Id="rId43" Type="http://schemas.openxmlformats.org/officeDocument/2006/relationships/hyperlink" Target="https://doi.org/10.1016/j.paid.2011.10.049" TargetMode="External"/><Relationship Id="rId48" Type="http://schemas.openxmlformats.org/officeDocument/2006/relationships/hyperlink" Target="https://doi.org/10.1177/1073191113486513" TargetMode="External"/><Relationship Id="rId56" Type="http://schemas.openxmlformats.org/officeDocument/2006/relationships/hyperlink" Target="https://doi.org/10.1016/j.jrp.2004.11.003" TargetMode="External"/><Relationship Id="rId64" Type="http://schemas.openxmlformats.org/officeDocument/2006/relationships/hyperlink" Target="https://doi.org/10.1111/j.1745-6916.2007.00047.x" TargetMode="External"/><Relationship Id="rId69" Type="http://schemas.openxmlformats.org/officeDocument/2006/relationships/hyperlink" Target="https://doi.org/10.1016/j.cpr.2002.09.001" TargetMode="External"/><Relationship Id="rId77" Type="http://schemas.openxmlformats.org/officeDocument/2006/relationships/hyperlink" Target="https://doi.org/10.1037/pspp0000096" TargetMode="External"/><Relationship Id="rId8" Type="http://schemas.openxmlformats.org/officeDocument/2006/relationships/comments" Target="comments.xml"/><Relationship Id="rId51" Type="http://schemas.openxmlformats.org/officeDocument/2006/relationships/hyperlink" Target="https://doi.org/10.1037/0003-066X.61.3.204" TargetMode="External"/><Relationship Id="rId72" Type="http://schemas.openxmlformats.org/officeDocument/2006/relationships/hyperlink" Target="https://doi.org/10.1177/0146167204264292" TargetMode="External"/><Relationship Id="rId80" Type="http://schemas.openxmlformats.org/officeDocument/2006/relationships/hyperlink" Target="https://doi.org/10.1111/1467-6494.0500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doi.org/10.1207/s15328007sem1201" TargetMode="External"/><Relationship Id="rId25" Type="http://schemas.openxmlformats.org/officeDocument/2006/relationships/hyperlink" Target="https://doi.org/10.1207/s15327752jpa6401_2" TargetMode="External"/><Relationship Id="rId33" Type="http://schemas.openxmlformats.org/officeDocument/2006/relationships/hyperlink" Target="https://doi.org/10.1521/pedi.2012.26.4.513" TargetMode="External"/><Relationship Id="rId38" Type="http://schemas.openxmlformats.org/officeDocument/2006/relationships/hyperlink" Target="https://doi.org/10.1080/10705519909540118" TargetMode="External"/><Relationship Id="rId46" Type="http://schemas.openxmlformats.org/officeDocument/2006/relationships/hyperlink" Target="https://doi.org/10.1016/j.lindif.2003.08.001" TargetMode="External"/><Relationship Id="rId59" Type="http://schemas.openxmlformats.org/officeDocument/2006/relationships/hyperlink" Target="https://doi.org/10.1016/j.paid.2007.03.017" TargetMode="External"/><Relationship Id="rId67" Type="http://schemas.openxmlformats.org/officeDocument/2006/relationships/hyperlink" Target="https://doi.org/10.1016/j.cpr.2008.07.002" TargetMode="External"/><Relationship Id="rId20" Type="http://schemas.openxmlformats.org/officeDocument/2006/relationships/hyperlink" Target="https://doi.org/10.1037/h0047239" TargetMode="External"/><Relationship Id="rId41" Type="http://schemas.openxmlformats.org/officeDocument/2006/relationships/hyperlink" Target="https://doi.org/10.1017/S0033291711002674" TargetMode="External"/><Relationship Id="rId54" Type="http://schemas.openxmlformats.org/officeDocument/2006/relationships/hyperlink" Target="http://www.sciencedirect.com/science/article/B6X01-46SGF6X-B/2/cfbcc79b23f57818759b3ae2b7f949b5" TargetMode="External"/><Relationship Id="rId62" Type="http://schemas.openxmlformats.org/officeDocument/2006/relationships/hyperlink" Target="https://doi.org/10.1111/bjep.12019" TargetMode="External"/><Relationship Id="rId70" Type="http://schemas.openxmlformats.org/officeDocument/2006/relationships/hyperlink" Target="https://doi.org/10.1111/1467-6494.05008" TargetMode="External"/><Relationship Id="rId75" Type="http://schemas.openxmlformats.org/officeDocument/2006/relationships/hyperlink" Target="http://papers.ssrn.com/abstract=2468985%7b\%25%7d0Ahttp://scholar.google.com/scholar?hl=en%7b\&amp;%7dbtnG=Search%7b\&amp;%7dq=intitle:Personality+Influences+Mobile+Phone+Usage%7b\"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pas0000523" TargetMode="External"/><Relationship Id="rId23" Type="http://schemas.openxmlformats.org/officeDocument/2006/relationships/hyperlink" Target="https://doi.org/10.1037/0021-843X.114.4.505" TargetMode="External"/><Relationship Id="rId28" Type="http://schemas.openxmlformats.org/officeDocument/2006/relationships/hyperlink" Target="https://doi.org/10.1207/s15327752jpa4901" TargetMode="External"/><Relationship Id="rId36" Type="http://schemas.openxmlformats.org/officeDocument/2006/relationships/hyperlink" Target="https://doi.org/10.1016/j.paid.2007.03.014" TargetMode="External"/><Relationship Id="rId49" Type="http://schemas.openxmlformats.org/officeDocument/2006/relationships/hyperlink" Target="https://doi.org/10.1037/a0019227" TargetMode="External"/><Relationship Id="rId57" Type="http://schemas.openxmlformats.org/officeDocument/2006/relationships/hyperlink" Target="https://doi.org/10.1002/per.487" TargetMode="External"/><Relationship Id="rId10" Type="http://schemas.microsoft.com/office/2016/09/relationships/commentsIds" Target="commentsIds.xml"/><Relationship Id="rId31" Type="http://schemas.openxmlformats.org/officeDocument/2006/relationships/hyperlink" Target="https://doi.org/10.1037/h0057198" TargetMode="External"/><Relationship Id="rId44" Type="http://schemas.openxmlformats.org/officeDocument/2006/relationships/hyperlink" Target="https://doi.org/10.1046/j.1365-2923.2002.01328.x" TargetMode="External"/><Relationship Id="rId52" Type="http://schemas.openxmlformats.org/officeDocument/2006/relationships/hyperlink" Target="https://doi.org/10.1016/j.paid.2008.09.028" TargetMode="External"/><Relationship Id="rId60" Type="http://schemas.openxmlformats.org/officeDocument/2006/relationships/hyperlink" Target="https://doi.org/10.1006/jrpe.2000.2309" TargetMode="External"/><Relationship Id="rId65" Type="http://schemas.openxmlformats.org/officeDocument/2006/relationships/hyperlink" Target="https://doi.org/10.1016/j.lindif.2011.04.004" TargetMode="External"/><Relationship Id="rId73" Type="http://schemas.openxmlformats.org/officeDocument/2006/relationships/hyperlink" Target="https://doi.org/10.1177/0022022106297299" TargetMode="External"/><Relationship Id="rId78" Type="http://schemas.openxmlformats.org/officeDocument/2006/relationships/hyperlink" Target="https://ejwl.idm.oclc.org/login?url=http://search.ebscohost.com/login.aspx?direct=true%7b\&amp;%7ddb=sih%7b\&amp;%7dAN=9208170745%7b\&amp;%7dsite=ehost-live" TargetMode="External"/><Relationship Id="rId81" Type="http://schemas.openxmlformats.org/officeDocument/2006/relationships/hyperlink" Target="https://doi.org/10.1146/annurev.clinpsy.032408.153542"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37/h0093360" TargetMode="External"/><Relationship Id="rId18" Type="http://schemas.openxmlformats.org/officeDocument/2006/relationships/hyperlink" Target="https://doi.org/10.1007/BF01358190" TargetMode="External"/><Relationship Id="rId39" Type="http://schemas.openxmlformats.org/officeDocument/2006/relationships/hyperlink" Target="https://doi.org/10.1016/j.lindif.2013.10.008" TargetMode="External"/><Relationship Id="rId34" Type="http://schemas.openxmlformats.org/officeDocument/2006/relationships/hyperlink" Target="https://doi.org/10.1111/j.1467-6494.2009.00571.x" TargetMode="External"/><Relationship Id="rId50" Type="http://schemas.openxmlformats.org/officeDocument/2006/relationships/hyperlink" Target="https://doi.org/10.1002/per.1975" TargetMode="External"/><Relationship Id="rId55" Type="http://schemas.openxmlformats.org/officeDocument/2006/relationships/hyperlink" Target="https://doi.org/10.1037/0022-3514.93.1.116" TargetMode="External"/><Relationship Id="rId76" Type="http://schemas.openxmlformats.org/officeDocument/2006/relationships/hyperlink" Target="https://doi.org/10.1016/j.jrp.2008.10.002"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ych.54.101601.145056" TargetMode="External"/><Relationship Id="rId24" Type="http://schemas.openxmlformats.org/officeDocument/2006/relationships/hyperlink" Target="https://doi.org/10.1037/10140-003" TargetMode="External"/><Relationship Id="rId40"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5" Type="http://schemas.openxmlformats.org/officeDocument/2006/relationships/hyperlink" Target="https://doi.org/10.1023/B:JOYO.0000037637.20329.97" TargetMode="External"/><Relationship Id="rId66" Type="http://schemas.openxmlformats.org/officeDocument/2006/relationships/hyperlink" Target="https://doi.org/10.1207/S15327752JPA8103" TargetMode="External"/><Relationship Id="rId61" Type="http://schemas.openxmlformats.org/officeDocument/2006/relationships/hyperlink" Target="https://doi.org/10.1037/a0014996" TargetMode="External"/><Relationship Id="rId82"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D38D-C32E-C647-ABBF-06314A35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76</Pages>
  <Words>13790</Words>
  <Characters>75848</Characters>
  <Application>Microsoft Office Word</Application>
  <DocSecurity>0</DocSecurity>
  <Lines>632</Lines>
  <Paragraphs>178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Matthias Ziegler</dc:creator>
  <cp:keywords/>
  <dc:description/>
  <cp:lastModifiedBy>Victor Rouco</cp:lastModifiedBy>
  <cp:revision>5</cp:revision>
  <cp:lastPrinted>2019-03-18T14:35:00Z</cp:lastPrinted>
  <dcterms:created xsi:type="dcterms:W3CDTF">2019-03-18T12:28:00Z</dcterms:created>
  <dcterms:modified xsi:type="dcterms:W3CDTF">2020-04-26T13:53:00Z</dcterms:modified>
</cp:coreProperties>
</file>