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8860B" w:sz="12" w:space="6"/>
        </w:pBdr>
        <w:spacing w:after="0" w:before="1400"/>
      </w:pPr>
      <w:r>
        <w:rPr>
          <w:b/>
          <w:bCs/>
          <w:color w:val="B8860B"/>
          <w:spacing w:val="60"/>
          <w:sz w:val="26"/>
          <w:szCs w:val="26"/>
        </w:rPr>
        <w:t xml:space="preserve">MORGAN CASH</w:t>
      </w:r>
    </w:p>
    <w:p>
      <w:pPr>
        <w:spacing w:after="0" w:before="280"/>
      </w:pPr>
      <w:r>
        <w:rPr>
          <w:b/>
          <w:bCs/>
          <w:color w:val="0F5132"/>
          <w:sz w:val="56"/>
          <w:szCs w:val="56"/>
        </w:rPr>
        <w:t xml:space="preserve">Merchant Retention &amp; Advisory</w:t>
      </w:r>
    </w:p>
    <w:p>
      <w:pPr>
        <w:spacing w:after="240" w:before="0"/>
      </w:pPr>
      <w:r>
        <w:rPr>
          <w:b/>
          <w:bCs/>
          <w:color w:val="0F5132"/>
          <w:sz w:val="56"/>
          <w:szCs w:val="56"/>
        </w:rPr>
        <w:t xml:space="preserve">Intelligence Framework</w:t>
      </w:r>
    </w:p>
    <w:p>
      <w:pPr>
        <w:spacing w:after="80"/>
      </w:pPr>
      <w:r>
        <w:rPr>
          <w:i/>
          <w:iCs/>
          <w:color w:val="555555"/>
          <w:sz w:val="26"/>
          <w:szCs w:val="26"/>
        </w:rPr>
        <w:t xml:space="preserve">A behavioral-ladder approach to lifetime merchant value</w:t>
      </w:r>
    </w:p>
    <w:p>
      <w:pPr>
        <w:spacing w:after="600"/>
      </w:pPr>
      <w:r>
        <w:rPr>
          <w:color w:val="555555"/>
          <w:sz w:val="22"/>
          <w:szCs w:val="22"/>
        </w:rPr>
        <w:t xml:space="preserve">Answering one question for every merchant, every time: “when will they take more money — and how do we make sure the offer that lands is ours, and is genuinely good for them?”</w:t>
      </w:r>
    </w:p>
    <w:p>
      <w:pPr>
        <w:spacing w:after="40"/>
      </w:pPr>
      <w:r>
        <w:rPr>
          <w:b/>
          <w:bCs/>
          <w:color w:val="1A1A1A"/>
          <w:sz w:val="24"/>
          <w:szCs w:val="24"/>
        </w:rPr>
        <w:t xml:space="preserve">Phase 0 — Framework Specification</w:t>
      </w:r>
    </w:p>
    <w:p>
      <w:pPr>
        <w:spacing w:after="40"/>
      </w:pPr>
      <w:r>
        <w:rPr>
          <w:color w:val="555555"/>
          <w:sz w:val="22"/>
          <w:szCs w:val="22"/>
        </w:rPr>
        <w:t xml:space="preserve">Version 1.0  ·  Strategy &amp; Design (pre-data)</w:t>
      </w:r>
    </w:p>
    <w:p>
      <w:pPr>
        <w:spacing w:after="40"/>
      </w:pPr>
      <w:r>
        <w:rPr>
          <w:color w:val="555555"/>
          <w:sz w:val="22"/>
          <w:szCs w:val="22"/>
        </w:rPr>
        <w:t xml:space="preserve">Prepared for Morgan Cash — MCA Advisory Initiative</w:t>
      </w:r>
    </w:p>
    <w:p>
      <w:r>
        <w:br w:type="page"/>
      </w:r>
    </w:p>
    <w:p>
      <w:pPr>
        <w:spacing w:after="160"/>
      </w:pPr>
      <w:r>
        <w:rPr>
          <w:b/>
          <w:bCs/>
          <w:color w:val="0F5132"/>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line="276"/>
      </w:pPr>
      <w:r>
        <w:t xml:space="preserve">Morgan Cash funds merchants but does not, by default, own what happens next. The moment a merchant pays down, the funder’s in-house renewal desk and competing ISOs race for the same business — and merchants who receive a strong buyout offer, or who carry positions across several funders, do not wait for any renewal date. They take capital whenever cash is needed or offered. The renewal calendar is therefore the wrong instrument. The right one predicts when each merchant will next be in-market for capital from anyone, by any mechanism, and ensures the offer that reaches them is ours and is honestly in their interest.</w:t>
      </w:r>
    </w:p>
    <w:p>
      <w:pPr>
        <w:spacing w:after="160" w:line="276"/>
      </w:pPr>
      <w:r>
        <w:t xml:space="preserve">This framework reframes the funded book as a set of merchants on a behavioral ladder of financial health. Every merchant occupies a rung today; the system serves them well at that rung now (earning the deal and the trust) while deliberately moving them up the ladder over time (turning chaotic stackers into disciplined renewers, and disciplined renewers into graduates who refer). Revenue and health rise together as merchants climb, so short-term capture and long-term loyalty stop competing and start compounding.</w:t>
      </w:r>
    </w:p>
    <w:p>
      <w:pPr>
        <w:spacing w:after="160" w:line="276"/>
      </w:pPr>
      <w:r>
        <w:t xml:space="preserve">The end state is </w:t>
      </w:r>
      <w:r>
        <w:rPr>
          <w:b/>
          <w:bCs/>
        </w:rPr>
        <w:t xml:space="preserve">an always-on merchant intelligence and advisory engine</w:t>
      </w:r>
      <w:r>
        <w:t xml:space="preserve"> that knows where every funded merchant stands, predicts their next capital event in their own behavioral logic, and automatically delivers the right honest advice at the right moment — so Morgan Cash becomes the merchant’s trusted capital advisor and captures every deal as the default, not the pitch.</w:t>
      </w:r>
    </w:p>
    <w:p>
      <w:pPr>
        <w:pBdr>
          <w:bottom w:val="single" w:color="B8860B" w:sz="6" w:space="1"/>
        </w:pBdr>
        <w:spacing w:after="160" w:before="80"/>
      </w:pPr>
    </w:p>
    <w:p>
      <w:pPr>
        <w:pStyle w:val="Heading1"/>
      </w:pPr>
      <w:r>
        <w:t xml:space="preserve">2. The Strategic Frame</w:t>
      </w:r>
    </w:p>
    <w:p>
      <w:pPr>
        <w:pStyle w:val="Heading2"/>
      </w:pPr>
      <w:r>
        <w:t xml:space="preserve">2.1 The question we are answering</w:t>
      </w:r>
    </w:p>
    <w:p>
      <w:pPr>
        <w:spacing w:after="160" w:line="276"/>
      </w:pPr>
      <w:r>
        <w:t xml:space="preserve">The single north-star question is: </w:t>
      </w:r>
      <w:r>
        <w:rPr>
          <w:b/>
          <w:bCs/>
          <w:i/>
          <w:iCs/>
        </w:rPr>
        <w:t xml:space="preserve">“When is a merchant going to take more money?”</w:t>
      </w:r>
      <w:r>
        <w:t xml:space="preserve"> It is a prediction with a date attached, which makes it actionable in a way that a static score is not. A merchant takes more money only when two clocks align — eligibility (can they?) and demand (do they want or need to?) — and they take it from us only when a third condition holds: presence (we are the trusted, timely call).</w:t>
      </w:r>
    </w:p>
    <w:p>
      <w:pPr>
        <w:spacing w:after="160" w:line="276"/>
      </w:pPr>
      <w:r>
        <w:t xml:space="preserve">Most ISOs model only the first clock — the amortization math — and ignore demand and presence entirely. That is why renewals leak to whoever calls first. The art is predicting where eligibility and demand intersect for each merchant, and being present at that intersection.</w:t>
      </w:r>
    </w:p>
    <w:p>
      <w:pPr>
        <w:pStyle w:val="Heading2"/>
      </w:pPr>
      <w:r>
        <w:t xml:space="preserve">2.2 Why the renewal date is the wrong instrument</w:t>
      </w:r>
    </w:p>
    <w:p>
      <w:pPr>
        <w:spacing w:after="160" w:line="276"/>
      </w:pPr>
      <w:r>
        <w:t xml:space="preserve">Two merchant behaviors break the calendar, and they are the two that matter most:</w:t>
      </w:r>
    </w:p>
    <w:p>
      <w:pPr>
        <w:pStyle w:val="ListParagraph"/>
        <w:numPr>
          <w:ilvl w:val="0"/>
          <w:numId w:val="2"/>
        </w:numPr>
        <w:spacing w:after="90" w:line="264"/>
      </w:pPr>
      <w:r>
        <w:rPr>
          <w:b/>
          <w:bCs/>
        </w:rPr>
        <w:t xml:space="preserve">Buyouts are offer-driven, not date-driven.</w:t>
      </w:r>
      <w:r>
        <w:t xml:space="preserve"> A merchant takes a buyout when someone hands them a good-enough offer — it can happen at 20% paydown, long before any window we would recognize opens.</w:t>
      </w:r>
    </w:p>
    <w:p>
      <w:pPr>
        <w:pStyle w:val="ListParagraph"/>
        <w:numPr>
          <w:ilvl w:val="0"/>
          <w:numId w:val="2"/>
        </w:numPr>
        <w:spacing w:after="90" w:line="264"/>
      </w:pPr>
      <w:r>
        <w:rPr>
          <w:b/>
          <w:bCs/>
        </w:rPr>
        <w:t xml:space="preserve">Multi-position merchants are structurally, chronically in-market.</w:t>
      </w:r>
      <w:r>
        <w:t xml:space="preserve"> They stack whenever cash is needed or offered, with no regard to where any single position sits. By the time our clock says “eligible,” they may have taken money several times elsewhere.</w:t>
      </w:r>
    </w:p>
    <w:p>
      <w:pPr>
        <w:spacing w:after="160" w:line="276"/>
      </w:pPr>
      <w:r>
        <w:t xml:space="preserve">The true prediction target is therefore </w:t>
      </w:r>
      <w:r>
        <w:rPr>
          <w:b/>
          <w:bCs/>
        </w:rPr>
        <w:t xml:space="preserve">time-to-next-capital-event</w:t>
      </w:r>
      <w:r>
        <w:t xml:space="preserve">, and a merchant’s behavioral archetype predicts that far better than their paydown percentage does.</w:t>
      </w:r>
    </w:p>
    <w:p>
      <w:pPr>
        <w:pStyle w:val="Heading2"/>
      </w:pPr>
      <w:r>
        <w:t xml:space="preserve">2.3 The central tension, resolved</w:t>
      </w:r>
    </w:p>
    <w:p>
      <w:pPr>
        <w:spacing w:after="160" w:line="276"/>
      </w:pPr>
      <w:r>
        <w:t xml:space="preserve">“Get every deal every time” and “genuinely best for the merchant” conflict on any single transaction — the merchant who would take a bad stack today is a deal we lose by being honest. The resolution is the whole thesis: optimize for lifetime capital events and referrals, not the next one. A merchant talked out of a bad stack defaults less, stays for years, refers others, and takes the good deals from us forever. The honest path and the revenue path diverge on exactly one transaction; over a lifetime they are the same path.</w:t>
      </w:r>
    </w:p>
    <w:p>
      <w:pPr>
        <w:spacing w:after="160" w:line="276"/>
      </w:pPr>
      <w:r>
        <w:t xml:space="preserve">This only stays real if it is measured. </w:t>
      </w:r>
      <w:r>
        <w:rPr>
          <w:b/>
          <w:bCs/>
        </w:rPr>
        <w:t xml:space="preserve">Relationship LTV and book health must be primary metrics from day one</w:t>
      </w:r>
      <w:r>
        <w:t xml:space="preserve">, so the incentive is structurally honest even when a rep is tempted by this month’s commission. Build that into the scoreboard or the trust mission quietly dies.</w:t>
      </w:r>
    </w:p>
    <w:p>
      <w:pPr>
        <w:pBdr>
          <w:bottom w:val="single" w:color="B8860B" w:sz="6" w:space="1"/>
        </w:pBdr>
        <w:spacing w:after="160" w:before="80"/>
      </w:pPr>
    </w:p>
    <w:p>
      <w:pPr>
        <w:pStyle w:val="Heading1"/>
      </w:pPr>
      <w:r>
        <w:t xml:space="preserve">3. The Behavioral Ladder</w:t>
      </w:r>
    </w:p>
    <w:p>
      <w:pPr>
        <w:spacing w:after="160" w:line="276"/>
      </w:pPr>
      <w:r>
        <w:t xml:space="preserve">The archetypes are not parallel buckets — they are rungs on a ladder of merchant financial health. The framework is a machine for moving merchants up the ladder while capturing revenue at every rung. A merchant’s rung is a live reading, not a permanent label: the ladder runs downward too, and catching a slide early is how a default is prevented.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260"/>
        <w:gridCol w:w="1800"/>
      </w:tblGrid>
      <w:tr>
        <w:trPr>
          <w:tblHeader/>
        </w:trPr>
        <w:tc>
          <w:tcPr>
            <w:tcW w:type="dxa" w:w="900"/>
            <w:tcBorders>
              <w:top w:val="single" w:color="CCCCCC" w:sz="1"/>
              <w:left w:val="single" w:color="CCCCCC" w:sz="1"/>
              <w:bottom w:val="single" w:color="CCCCCC" w:sz="1"/>
              <w:right w:val="single" w:color="CCCCCC" w:sz="1"/>
            </w:tcBorders>
            <w:shd w:fill="0F5132" w:val="clear"/>
            <w:tcMar>
              <w:top w:type="dxa" w:w="90"/>
              <w:left w:type="dxa" w:w="120"/>
              <w:bottom w:type="dxa" w:w="90"/>
              <w:right w:type="dxa" w:w="120"/>
            </w:tcMar>
            <w:vAlign w:val="center"/>
          </w:tcPr>
          <w:p>
            <w:r>
              <w:rPr>
                <w:b/>
                <w:bCs/>
                <w:color w:val="FFFFFF"/>
                <w:sz w:val="20"/>
                <w:szCs w:val="20"/>
              </w:rPr>
              <w:t xml:space="preserve">Rung</w:t>
            </w:r>
          </w:p>
        </w:tc>
        <w:tc>
          <w:tcPr>
            <w:tcW w:type="dxa" w:w="2400"/>
            <w:tcBorders>
              <w:top w:val="single" w:color="CCCCCC" w:sz="1"/>
              <w:left w:val="single" w:color="CCCCCC" w:sz="1"/>
              <w:bottom w:val="single" w:color="CCCCCC" w:sz="1"/>
              <w:right w:val="single" w:color="CCCCCC" w:sz="1"/>
            </w:tcBorders>
            <w:shd w:fill="0F5132" w:val="clear"/>
            <w:tcMar>
              <w:top w:type="dxa" w:w="90"/>
              <w:left w:type="dxa" w:w="120"/>
              <w:bottom w:type="dxa" w:w="90"/>
              <w:right w:type="dxa" w:w="120"/>
            </w:tcMar>
            <w:vAlign w:val="center"/>
          </w:tcPr>
          <w:p>
            <w:r>
              <w:rPr>
                <w:b/>
                <w:bCs/>
                <w:color w:val="FFFFFF"/>
                <w:sz w:val="20"/>
                <w:szCs w:val="20"/>
              </w:rPr>
              <w:t xml:space="preserve">Archetype</w:t>
            </w:r>
          </w:p>
        </w:tc>
        <w:tc>
          <w:tcPr>
            <w:tcW w:type="dxa" w:w="4260"/>
            <w:tcBorders>
              <w:top w:val="single" w:color="CCCCCC" w:sz="1"/>
              <w:left w:val="single" w:color="CCCCCC" w:sz="1"/>
              <w:bottom w:val="single" w:color="CCCCCC" w:sz="1"/>
              <w:right w:val="single" w:color="CCCCCC" w:sz="1"/>
            </w:tcBorders>
            <w:shd w:fill="0F5132" w:val="clear"/>
            <w:tcMar>
              <w:top w:type="dxa" w:w="90"/>
              <w:left w:type="dxa" w:w="120"/>
              <w:bottom w:type="dxa" w:w="90"/>
              <w:right w:type="dxa" w:w="120"/>
            </w:tcMar>
            <w:vAlign w:val="center"/>
          </w:tcPr>
          <w:p>
            <w:r>
              <w:rPr>
                <w:b/>
                <w:bCs/>
                <w:color w:val="FFFFFF"/>
                <w:sz w:val="20"/>
                <w:szCs w:val="20"/>
              </w:rPr>
              <w:t xml:space="preserve">Defining behavior</w:t>
            </w:r>
          </w:p>
        </w:tc>
        <w:tc>
          <w:tcPr>
            <w:tcW w:type="dxa" w:w="1800"/>
            <w:tcBorders>
              <w:top w:val="single" w:color="CCCCCC" w:sz="1"/>
              <w:left w:val="single" w:color="CCCCCC" w:sz="1"/>
              <w:bottom w:val="single" w:color="CCCCCC" w:sz="1"/>
              <w:right w:val="single" w:color="CCCCCC" w:sz="1"/>
            </w:tcBorders>
            <w:shd w:fill="0F5132" w:val="clear"/>
            <w:tcMar>
              <w:top w:type="dxa" w:w="90"/>
              <w:left w:type="dxa" w:w="120"/>
              <w:bottom w:type="dxa" w:w="90"/>
              <w:right w:type="dxa" w:w="120"/>
            </w:tcMar>
            <w:vAlign w:val="center"/>
          </w:tcPr>
          <w:p>
            <w:r>
              <w:rPr>
                <w:b/>
                <w:bCs/>
                <w:color w:val="FFFFFF"/>
                <w:sz w:val="20"/>
                <w:szCs w:val="20"/>
              </w:rPr>
              <w:t xml:space="preserve">Target rung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Distressed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Takes capital to service prior positions; each advance nets less benefit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Stabilized / off-board</w:t>
            </w:r>
          </w:p>
        </w:tc>
      </w:tr>
      <w:tr>
        <w:tc>
          <w:tcPr>
            <w:tcW w:type="dxa" w:w="9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bCs/>
                <w:color w:val="1A1A1A"/>
                <w:sz w:val="19"/>
                <w:szCs w:val="19"/>
              </w:rPr>
              <w:t xml:space="preserve">2</w:t>
            </w:r>
          </w:p>
        </w:tc>
        <w:tc>
          <w:tcPr>
            <w:tcW w:type="dxa" w:w="24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Serial / Multi-position</w:t>
            </w:r>
          </w:p>
        </w:tc>
        <w:tc>
          <w:tcPr>
            <w:tcW w:type="dxa" w:w="426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Chronically in-market; re-ups on offer-flow and cash-need, not paydown</w:t>
            </w:r>
          </w:p>
        </w:tc>
        <w:tc>
          <w:tcPr>
            <w:tcW w:type="dxa" w:w="18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Disciplined renewer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Disciplined renewer</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Single, well-managed position; renews at healthy paydown; clean history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Growth (if supported)</w:t>
            </w:r>
          </w:p>
        </w:tc>
      </w:tr>
      <w:tr>
        <w:tc>
          <w:tcPr>
            <w:tcW w:type="dxa" w:w="9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bCs/>
                <w:color w:val="1A1A1A"/>
                <w:sz w:val="19"/>
                <w:szCs w:val="19"/>
              </w:rPr>
              <w:t xml:space="preserve">4</w:t>
            </w:r>
          </w:p>
        </w:tc>
        <w:tc>
          <w:tcPr>
            <w:tcW w:type="dxa" w:w="24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Growth borrower</w:t>
            </w:r>
          </w:p>
        </w:tc>
        <w:tc>
          <w:tcPr>
            <w:tcW w:type="dxa" w:w="426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Takes more because the business genuinely grew; capital is productive</w:t>
            </w:r>
          </w:p>
        </w:tc>
        <w:tc>
          <w:tcPr>
            <w:tcW w:type="dxa" w:w="18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Graduate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Graduate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Qualifies for cheaper capital; MCA has become the wrong product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Stays — referral asset</w:t>
            </w:r>
          </w:p>
        </w:tc>
      </w:tr>
    </w:tbl>
    <w:p>
      <w:pPr>
        <w:spacing w:after="60"/>
      </w:pPr>
    </w:p>
    <w:p>
      <w:pPr>
        <w:spacing w:after="160" w:line="276"/>
      </w:pPr>
      <w:r>
        <w:t xml:space="preserve">Three honest notes about the ladder as a whole. Not every merchant climbs — some Distressed merchants exit via default or graceful off-boarding, and funding an unsalvageable merchant is the exact extraction behavior the framework exists to kill. The highest mass-value play is Rung 2 → Rung 3: the largest population and the biggest behavior change, where the advisory comms earn their keep. And classification must be continuous, because a disciplined renewer hit by a bad season slides toward serial or distressed.</w:t>
      </w:r>
    </w:p>
    <w:p>
      <w:pPr>
        <w:pBdr>
          <w:bottom w:val="single" w:color="B8860B" w:sz="6" w:space="1"/>
        </w:pBdr>
        <w:spacing w:after="160" w:before="80"/>
      </w:pPr>
    </w:p>
    <w:p>
      <w:pPr>
        <w:pStyle w:val="Heading1"/>
      </w:pPr>
      <w:r>
        <w:t xml:space="preserve">4. Phase 0 — Framework Specification</w:t>
      </w:r>
    </w:p>
    <w:p>
      <w:pPr>
        <w:spacing w:after="160" w:line="276"/>
      </w:pPr>
      <w:r>
        <w:t xml:space="preserve">The goal of Phase 0 is to make every rung testable — so that a rule, not a person’s gut, can place a merchant, and so the data migration knows exactly what to capture. The numeric thresholds below are starting hypotheses to be calibrated against the real book; the structure (signals, logic, targets, nudge sequences, bidirectional movement) is the specification the rest of the system implements.</w:t>
      </w:r>
    </w:p>
    <w:p>
      <w:pPr>
        <w:pStyle w:val="Heading2"/>
      </w:pPr>
      <w:r>
        <w:t xml:space="preserve">4.1 Two governing principles</w:t>
      </w:r>
    </w:p>
    <w:p>
      <w:pPr>
        <w:pStyle w:val="ListParagraph"/>
        <w:numPr>
          <w:ilvl w:val="0"/>
          <w:numId w:val="3"/>
        </w:numPr>
        <w:spacing w:after="90" w:line="264"/>
      </w:pPr>
      <w:r>
        <w:rPr>
          <w:b/>
          <w:bCs/>
        </w:rPr>
        <w:t xml:space="preserve">Classification is continuous and confidence-scored.</w:t>
      </w:r>
      <w:r>
        <w:t xml:space="preserve"> Every merchant gets a rung and a confidence level on every refresh. A merchant who cannot be confidently placed lands in an explicit “Unclassified — insufficient data” state. That state is not a failure; it is the system naming precisely which data is missing, and it keeps the framework honest about thin post-funding data.</w:t>
      </w:r>
    </w:p>
    <w:p>
      <w:pPr>
        <w:pStyle w:val="ListParagraph"/>
        <w:numPr>
          <w:ilvl w:val="0"/>
          <w:numId w:val="3"/>
        </w:numPr>
        <w:spacing w:after="90" w:line="264"/>
      </w:pPr>
      <w:r>
        <w:rPr>
          <w:b/>
          <w:bCs/>
        </w:rPr>
        <w:t xml:space="preserve">Rungs are read live and move both ways.</w:t>
      </w:r>
      <w:r>
        <w:t xml:space="preserve"> A rung is a current reading, not a label. The same engine that promotes a stabilized stacker demotes a disciplined renewer who hits a bad season. Down-ladder detection is as important as up-ladder, because catching a slide early prevents a default.</w:t>
      </w:r>
    </w:p>
    <w:p>
      <w:pPr>
        <w:pStyle w:val="Heading2"/>
      </w:pPr>
      <w:r>
        <w:t xml:space="preserve">4.2 Rung 1 — Distressed</w:t>
      </w:r>
    </w:p>
    <w:p>
      <w:pPr>
        <w:spacing w:after="160" w:line="276"/>
      </w:pPr>
      <w:r>
        <w:rPr>
          <w:b/>
          <w:bCs/>
          <w:color w:val="0F5132"/>
        </w:rPr>
        <w:t xml:space="preserve">Definition. </w:t>
      </w:r>
      <w:r>
        <w:t xml:space="preserve">Taking capital primarily to service existing positions rather than to operate or grow. Each new advance delivers less net benefit than the last. The merchant is in a debt cycle.</w:t>
      </w:r>
    </w:p>
    <w:p>
      <w:pPr>
        <w:spacing w:after="160" w:line="276"/>
      </w:pPr>
      <w:r>
        <w:rPr>
          <w:b/>
          <w:bCs/>
          <w:color w:val="0F5132"/>
        </w:rPr>
        <w:t xml:space="preserve">Observable signals. </w:t>
      </w:r>
      <w:r>
        <w:t xml:space="preserve">High total weekly debit burden relative to revenue; payment stress (decelerating remittances, NSF / missed-payment events, bounced ACH); recent stacking at progressively worse factor rates; net cash received per advance shrinking deal over deal; short intervals between advances.</w:t>
      </w:r>
    </w:p>
    <w:p>
      <w:pPr>
        <w:spacing w:after="160" w:line="276"/>
      </w:pPr>
      <w:r>
        <w:rPr>
          <w:b/>
          <w:bCs/>
          <w:color w:val="0F5132"/>
        </w:rPr>
        <w:t xml:space="preserve">Testable thresholds (hypotheses to calibrate).</w:t>
      </w:r>
    </w:p>
    <w:p>
      <w:pPr>
        <w:pStyle w:val="ListParagraph"/>
        <w:numPr>
          <w:ilvl w:val="0"/>
          <w:numId w:val="2"/>
        </w:numPr>
        <w:spacing w:after="90" w:line="264"/>
      </w:pPr>
      <w:r>
        <w:t xml:space="preserve">Total estimated weekly debit ÷ estimated weekly revenue above a stress ceiling (start at ~25–30%, where servicing crowds out operating).</w:t>
      </w:r>
    </w:p>
    <w:p>
      <w:pPr>
        <w:pStyle w:val="ListParagraph"/>
        <w:numPr>
          <w:ilvl w:val="0"/>
          <w:numId w:val="2"/>
        </w:numPr>
        <w:spacing w:after="90" w:line="264"/>
      </w:pPr>
      <w:r>
        <w:t xml:space="preserve">Two or more NSF / missed-payment events in a trailing window.</w:t>
      </w:r>
    </w:p>
    <w:p>
      <w:pPr>
        <w:pStyle w:val="ListParagraph"/>
        <w:numPr>
          <w:ilvl w:val="0"/>
          <w:numId w:val="2"/>
        </w:numPr>
        <w:spacing w:after="90" w:line="264"/>
      </w:pPr>
      <w:r>
        <w:t xml:space="preserve">Most recent advance’s factor rate higher than the prior advance’s — the cleanest distress tell computable without payment feeds.</w:t>
      </w:r>
    </w:p>
    <w:p>
      <w:pPr>
        <w:pStyle w:val="ListParagraph"/>
        <w:numPr>
          <w:ilvl w:val="0"/>
          <w:numId w:val="2"/>
        </w:numPr>
        <w:spacing w:after="90" w:line="264"/>
      </w:pPr>
      <w:r>
        <w:t xml:space="preserve">Net cash-out per advance declining across the last 2–3 deals.</w:t>
      </w:r>
    </w:p>
    <w:p>
      <w:pPr>
        <w:spacing w:after="160" w:line="276"/>
      </w:pPr>
      <w:r>
        <w:rPr>
          <w:b/>
          <w:bCs/>
          <w:color w:val="0F5132"/>
        </w:rPr>
        <w:t xml:space="preserve">Classification logic. </w:t>
      </w:r>
      <w:r>
        <w:t xml:space="preserve">Trips Distressed if the burden ratio exceeds the ceiling OR payment-stress events are present OR the worsening-factor with shrinking-net pattern is detected. Distress is an OR condition — any one strong signal pulls a merchant here, because the cost of funding a distressed merchant into default is high.</w:t>
      </w:r>
    </w:p>
    <w:p>
      <w:pPr>
        <w:spacing w:after="160" w:line="276"/>
      </w:pPr>
      <w:r>
        <w:rPr>
          <w:b/>
          <w:bCs/>
          <w:color w:val="0F5132"/>
        </w:rPr>
        <w:t xml:space="preserve">Target rung. </w:t>
      </w:r>
      <w:r>
        <w:t xml:space="preserve">Stabilized — realistically Disciplined if salvageable, or graceful off-boarding if not. The win is frequently not a deal.</w:t>
      </w:r>
    </w:p>
    <w:p>
      <w:pPr>
        <w:spacing w:after="160" w:line="276"/>
      </w:pPr>
      <w:r>
        <w:rPr>
          <w:b/>
          <w:bCs/>
          <w:color w:val="0F5132"/>
        </w:rPr>
        <w:t xml:space="preserve">Climbing nudges, sequenced.</w:t>
      </w:r>
    </w:p>
    <w:p>
      <w:pPr>
        <w:pStyle w:val="ListParagraph"/>
        <w:numPr>
          <w:ilvl w:val="0"/>
          <w:numId w:val="4"/>
        </w:numPr>
        <w:spacing w:after="90" w:line="264"/>
      </w:pPr>
      <w:r>
        <w:rPr>
          <w:b/>
          <w:bCs/>
        </w:rPr>
        <w:t xml:space="preserve">Position statement</w:t>
      </w:r>
      <w:r>
        <w:t xml:space="preserve"> — show them their own hole: every position, total weekly burden, projected payoff. Most have not done this math; seeing it is the intervention.</w:t>
      </w:r>
    </w:p>
    <w:p>
      <w:pPr>
        <w:pStyle w:val="ListParagraph"/>
        <w:numPr>
          <w:ilvl w:val="0"/>
          <w:numId w:val="4"/>
        </w:numPr>
        <w:spacing w:after="90" w:line="264"/>
      </w:pPr>
      <w:r>
        <w:rPr>
          <w:b/>
          <w:bCs/>
        </w:rPr>
        <w:t xml:space="preserve">Honest consolidation / buyout calculator</w:t>
      </w:r>
      <w:r>
        <w:t xml:space="preserve"> — model status-quo vs. consolidation and show the double-dip cost where a buyout makes it worse. Telling them “don’t take that offer” is the highest-trust act on the ladder.</w:t>
      </w:r>
    </w:p>
    <w:p>
      <w:pPr>
        <w:pStyle w:val="ListParagraph"/>
        <w:numPr>
          <w:ilvl w:val="0"/>
          <w:numId w:val="4"/>
        </w:numPr>
        <w:spacing w:after="90" w:line="264"/>
      </w:pPr>
      <w:r>
        <w:rPr>
          <w:b/>
          <w:bCs/>
        </w:rPr>
        <w:t xml:space="preserve">Capacity hold</w:t>
      </w:r>
      <w:r>
        <w:t xml:space="preserve"> — “no additional capital is sustainable until burden falls below X.” A hard, honest ceiling.</w:t>
      </w:r>
    </w:p>
    <w:p>
      <w:pPr>
        <w:pStyle w:val="ListParagraph"/>
        <w:numPr>
          <w:ilvl w:val="0"/>
          <w:numId w:val="4"/>
        </w:numPr>
        <w:spacing w:after="90" w:line="264"/>
      </w:pPr>
      <w:r>
        <w:rPr>
          <w:b/>
          <w:bCs/>
        </w:rPr>
        <w:t xml:space="preserve">Single structured consolidation (if salvageable)</w:t>
      </w:r>
      <w:r>
        <w:t xml:space="preserve"> — simplify the chaos into one manageable position with us, then hand off to the Rung-2 path.</w:t>
      </w:r>
    </w:p>
    <w:p>
      <w:pPr>
        <w:spacing w:after="160" w:line="276"/>
      </w:pPr>
      <w:r>
        <w:rPr>
          <w:b/>
          <w:bCs/>
          <w:color w:val="B8860B"/>
        </w:rPr>
        <w:t xml:space="preserve">Down-ladder / exit conditions. </w:t>
      </w:r>
      <w:r>
        <w:t xml:space="preserve">If burden keeps rising and stress events accumulate despite intervention, flag for graceful off-boarding — not more funding. “We cannot save this merchant and will not extract from them” is a valid, honest outcome the framework must name.</w:t>
      </w:r>
    </w:p>
    <w:p>
      <w:pPr>
        <w:pStyle w:val="Heading2"/>
      </w:pPr>
      <w:r>
        <w:t xml:space="preserve">4.3 Rung 2 — Serial / Multi-position</w:t>
      </w:r>
    </w:p>
    <w:p>
      <w:pPr>
        <w:spacing w:after="160" w:line="276"/>
      </w:pPr>
      <w:r>
        <w:rPr>
          <w:b/>
          <w:bCs/>
          <w:color w:val="0F5132"/>
        </w:rPr>
        <w:t xml:space="preserve">Definition. </w:t>
      </w:r>
      <w:r>
        <w:t xml:space="preserve">Chronically in-market. Multiple concurrent positions; re-ups on offer-flow and cash-need rather than paydown logic. Often not distressed — many run fine — but undisciplined and structurally promiscuous.</w:t>
      </w:r>
    </w:p>
    <w:p>
      <w:pPr>
        <w:spacing w:after="160" w:line="276"/>
      </w:pPr>
      <w:r>
        <w:rPr>
          <w:b/>
          <w:bCs/>
          <w:color w:val="0F5132"/>
        </w:rPr>
        <w:t xml:space="preserve">Observable signals. </w:t>
      </w:r>
      <w:r>
        <w:t xml:space="preserve">Two or more concurrent positions; high disclosed-positions count at funding; short, irregular intervals between advances; takes advances well before prior positions mature; burden elevated but below the distress ceiling; payments generally clean.</w:t>
      </w:r>
    </w:p>
    <w:p>
      <w:pPr>
        <w:spacing w:after="160" w:line="276"/>
      </w:pPr>
      <w:r>
        <w:rPr>
          <w:b/>
          <w:bCs/>
          <w:color w:val="0F5132"/>
        </w:rPr>
        <w:t xml:space="preserve">Testable thresholds (hypotheses to calibrate).</w:t>
      </w:r>
    </w:p>
    <w:p>
      <w:pPr>
        <w:pStyle w:val="ListParagraph"/>
        <w:numPr>
          <w:ilvl w:val="0"/>
          <w:numId w:val="2"/>
        </w:numPr>
        <w:spacing w:after="90" w:line="264"/>
      </w:pPr>
      <w:r>
        <w:t xml:space="preserve">Concurrent open positions ≥ 2.</w:t>
      </w:r>
    </w:p>
    <w:p>
      <w:pPr>
        <w:pStyle w:val="ListParagraph"/>
        <w:numPr>
          <w:ilvl w:val="0"/>
          <w:numId w:val="2"/>
        </w:numPr>
        <w:spacing w:after="90" w:line="264"/>
      </w:pPr>
      <w:r>
        <w:t xml:space="preserve">Most recent advance taken at &lt; 40% paydown of the prior position (took money “early” — the offer-driven tell).</w:t>
      </w:r>
    </w:p>
    <w:p>
      <w:pPr>
        <w:pStyle w:val="ListParagraph"/>
        <w:numPr>
          <w:ilvl w:val="0"/>
          <w:numId w:val="2"/>
        </w:numPr>
        <w:spacing w:after="90" w:line="264"/>
      </w:pPr>
      <w:r>
        <w:t xml:space="preserve">Burden ratio in a middle band (e.g. 15–30%) — enough to notice, not yet distress.</w:t>
      </w:r>
    </w:p>
    <w:p>
      <w:pPr>
        <w:pStyle w:val="ListParagraph"/>
        <w:numPr>
          <w:ilvl w:val="0"/>
          <w:numId w:val="2"/>
        </w:numPr>
        <w:spacing w:after="90" w:line="264"/>
      </w:pPr>
      <w:r>
        <w:t xml:space="preserve">Clean payment history — the discriminator that separates Serial from Distressed on the same multi-position shape.</w:t>
      </w:r>
    </w:p>
    <w:p>
      <w:pPr>
        <w:spacing w:after="160" w:line="276"/>
      </w:pPr>
      <w:r>
        <w:rPr>
          <w:b/>
          <w:bCs/>
          <w:color w:val="0F5132"/>
        </w:rPr>
        <w:t xml:space="preserve">Classification logic. </w:t>
      </w:r>
      <w:r>
        <w:t xml:space="preserve">Serial if concurrent positions ≥ 2 AND not tripping Distressed conditions. The discriminator between Rung 1 and Rung 2 is payment health and burden level on the same structure; distress signals override and pull to Rung 1.</w:t>
      </w:r>
    </w:p>
    <w:p>
      <w:pPr>
        <w:spacing w:after="160" w:line="276"/>
      </w:pPr>
      <w:r>
        <w:rPr>
          <w:b/>
          <w:bCs/>
          <w:color w:val="0F5132"/>
        </w:rPr>
        <w:t xml:space="preserve">Target rung. </w:t>
      </w:r>
      <w:r>
        <w:t xml:space="preserve">Disciplined renewer. This is the highest-value climb in the book — largest population, biggest behavior delta, where the advisory comms earn their keep.</w:t>
      </w:r>
    </w:p>
    <w:p>
      <w:pPr>
        <w:spacing w:after="160" w:line="276"/>
      </w:pPr>
      <w:r>
        <w:rPr>
          <w:b/>
          <w:bCs/>
          <w:color w:val="0F5132"/>
        </w:rPr>
        <w:t xml:space="preserve">Climbing nudges, sequenced.</w:t>
      </w:r>
    </w:p>
    <w:p>
      <w:pPr>
        <w:pStyle w:val="ListParagraph"/>
        <w:numPr>
          <w:ilvl w:val="0"/>
          <w:numId w:val="5"/>
        </w:numPr>
        <w:spacing w:after="90" w:line="264"/>
      </w:pPr>
      <w:r>
        <w:rPr>
          <w:b/>
          <w:bCs/>
        </w:rPr>
        <w:t xml:space="preserve">Position statement</w:t>
      </w:r>
      <w:r>
        <w:t xml:space="preserve"> — most have no idea what their total weekly debit burden is across all positions. Showing them is a jolt that opens the door to discipline.</w:t>
      </w:r>
    </w:p>
    <w:p>
      <w:pPr>
        <w:pStyle w:val="ListParagraph"/>
        <w:numPr>
          <w:ilvl w:val="0"/>
          <w:numId w:val="5"/>
        </w:numPr>
        <w:spacing w:after="90" w:line="264"/>
      </w:pPr>
      <w:r>
        <w:rPr>
          <w:b/>
          <w:bCs/>
        </w:rPr>
        <w:t xml:space="preserve">Consolidation offer</w:t>
      </w:r>
      <w:r>
        <w:t xml:space="preserve"> — simplify chaos into one clean position with us — both the trust move and the consolidation revenue.</w:t>
      </w:r>
    </w:p>
    <w:p>
      <w:pPr>
        <w:pStyle w:val="ListParagraph"/>
        <w:numPr>
          <w:ilvl w:val="0"/>
          <w:numId w:val="5"/>
        </w:numPr>
        <w:spacing w:after="90" w:line="264"/>
      </w:pPr>
      <w:r>
        <w:rPr>
          <w:b/>
          <w:bCs/>
        </w:rPr>
        <w:t xml:space="preserve">Best-time coaching</w:t>
      </w:r>
      <w:r>
        <w:t xml:space="preserve"> — introduce the idea of a renewal rhythm (“wait to X% and less rolls over”) — the first seed of discipline.</w:t>
      </w:r>
    </w:p>
    <w:p>
      <w:pPr>
        <w:pStyle w:val="ListParagraph"/>
        <w:numPr>
          <w:ilvl w:val="0"/>
          <w:numId w:val="5"/>
        </w:numPr>
        <w:spacing w:after="90" w:line="264"/>
      </w:pPr>
      <w:r>
        <w:rPr>
          <w:b/>
          <w:bCs/>
        </w:rPr>
        <w:t xml:space="preserve">Capacity guidance</w:t>
      </w:r>
      <w:r>
        <w:t xml:space="preserve"> — a sustainable ceiling, reframing “more is available” into “more is wise up to here.”</w:t>
      </w:r>
    </w:p>
    <w:p>
      <w:pPr>
        <w:spacing w:after="160" w:line="276"/>
      </w:pPr>
      <w:r>
        <w:rPr>
          <w:b/>
          <w:bCs/>
          <w:color w:val="B8860B"/>
        </w:rPr>
        <w:t xml:space="preserve">Down-ladder / exit conditions. </w:t>
      </w:r>
      <w:r>
        <w:t xml:space="preserve">Burden rising plus first stress events slides them toward Distressed; classification flags the slide for early intervention.</w:t>
      </w:r>
    </w:p>
    <w:p>
      <w:pPr>
        <w:pStyle w:val="Heading2"/>
      </w:pPr>
      <w:r>
        <w:t xml:space="preserve">4.4 Rung 3 — Disciplined Renewer</w:t>
      </w:r>
    </w:p>
    <w:p>
      <w:pPr>
        <w:spacing w:after="160" w:line="276"/>
      </w:pPr>
      <w:r>
        <w:rPr>
          <w:b/>
          <w:bCs/>
          <w:color w:val="0F5132"/>
        </w:rPr>
        <w:t xml:space="preserve">Definition. </w:t>
      </w:r>
      <w:r>
        <w:t xml:space="preserve">Single or well-managed position; renews at healthy paydown; clean history; predictable rhythm.</w:t>
      </w:r>
    </w:p>
    <w:p>
      <w:pPr>
        <w:spacing w:after="160" w:line="276"/>
      </w:pPr>
      <w:r>
        <w:rPr>
          <w:b/>
          <w:bCs/>
          <w:color w:val="0F5132"/>
        </w:rPr>
        <w:t xml:space="preserve">Observable signals. </w:t>
      </w:r>
      <w:r>
        <w:t xml:space="preserve">One position (or cleanly sequential, never concurrent); consistent renewals at healthy paydown; no stress events; stable interval pattern; low burden ratio.</w:t>
      </w:r>
    </w:p>
    <w:p>
      <w:pPr>
        <w:spacing w:after="160" w:line="276"/>
      </w:pPr>
      <w:r>
        <w:rPr>
          <w:b/>
          <w:bCs/>
          <w:color w:val="0F5132"/>
        </w:rPr>
        <w:t xml:space="preserve">Testable thresholds (hypotheses to calibrate).</w:t>
      </w:r>
    </w:p>
    <w:p>
      <w:pPr>
        <w:pStyle w:val="ListParagraph"/>
        <w:numPr>
          <w:ilvl w:val="0"/>
          <w:numId w:val="2"/>
        </w:numPr>
        <w:spacing w:after="90" w:line="264"/>
      </w:pPr>
      <w:r>
        <w:t xml:space="preserve">Concurrent positions ≤ 1.</w:t>
      </w:r>
    </w:p>
    <w:p>
      <w:pPr>
        <w:pStyle w:val="ListParagraph"/>
        <w:numPr>
          <w:ilvl w:val="0"/>
          <w:numId w:val="2"/>
        </w:numPr>
        <w:spacing w:after="90" w:line="264"/>
      </w:pPr>
      <w:r>
        <w:t xml:space="preserve">Renewals occur at ≥ 50% paydown consistently.</w:t>
      </w:r>
    </w:p>
    <w:p>
      <w:pPr>
        <w:pStyle w:val="ListParagraph"/>
        <w:numPr>
          <w:ilvl w:val="0"/>
          <w:numId w:val="2"/>
        </w:numPr>
        <w:spacing w:after="90" w:line="264"/>
      </w:pPr>
      <w:r>
        <w:t xml:space="preserve">Burden ratio below ~15%.</w:t>
      </w:r>
    </w:p>
    <w:p>
      <w:pPr>
        <w:pStyle w:val="ListParagraph"/>
        <w:numPr>
          <w:ilvl w:val="0"/>
          <w:numId w:val="2"/>
        </w:numPr>
        <w:spacing w:after="90" w:line="264"/>
      </w:pPr>
      <w:r>
        <w:t xml:space="preserve">Zero stress events in trailing window.</w:t>
      </w:r>
    </w:p>
    <w:p>
      <w:pPr>
        <w:pStyle w:val="ListParagraph"/>
        <w:numPr>
          <w:ilvl w:val="0"/>
          <w:numId w:val="2"/>
        </w:numPr>
        <w:spacing w:after="90" w:line="264"/>
      </w:pPr>
      <w:r>
        <w:t xml:space="preserve">A detectable personal cadence (consistent paydown-at-renewal across ≥ 2 prior renewals).</w:t>
      </w:r>
    </w:p>
    <w:p>
      <w:pPr>
        <w:spacing w:after="160" w:line="276"/>
      </w:pPr>
      <w:r>
        <w:rPr>
          <w:b/>
          <w:bCs/>
          <w:color w:val="0F5132"/>
        </w:rPr>
        <w:t xml:space="preserve">Classification logic. </w:t>
      </w:r>
      <w:r>
        <w:t xml:space="preserve">Disciplined if single-position AND healthy-paydown renewal pattern AND clean payments AND low burden. An AND condition — discipline requires all the good signals, which is why it is a higher rung.</w:t>
      </w:r>
    </w:p>
    <w:p>
      <w:pPr>
        <w:spacing w:after="160" w:line="276"/>
      </w:pPr>
      <w:r>
        <w:rPr>
          <w:b/>
          <w:bCs/>
          <w:color w:val="0F5132"/>
        </w:rPr>
        <w:t xml:space="preserve">Target rung. </w:t>
      </w:r>
      <w:r>
        <w:t xml:space="preserve">Growth borrower if the business supports it — otherwise hold them here happily. A stable disciplined renewer for years is an excellent outcome; do not force a climb. The real risk at this rung is complacency losing them to a competitor’s better offer, so reinforcement is the job.</w:t>
      </w:r>
    </w:p>
    <w:p>
      <w:pPr>
        <w:spacing w:after="160" w:line="276"/>
      </w:pPr>
      <w:r>
        <w:rPr>
          <w:b/>
          <w:bCs/>
          <w:color w:val="0F5132"/>
        </w:rPr>
        <w:t xml:space="preserve">Climbing nudges, sequenced.</w:t>
      </w:r>
    </w:p>
    <w:p>
      <w:pPr>
        <w:pStyle w:val="ListParagraph"/>
        <w:numPr>
          <w:ilvl w:val="0"/>
          <w:numId w:val="6"/>
        </w:numPr>
        <w:spacing w:after="90" w:line="264"/>
      </w:pPr>
      <w:r>
        <w:rPr>
          <w:b/>
          <w:bCs/>
        </w:rPr>
        <w:t xml:space="preserve">Value-first reinforcement, price last</w:t>
      </w:r>
      <w:r>
        <w:t xml:space="preserve"> — lead with non-price value (speed, advice, position clarity); treat better pricing as a lever earned by tenure, not the headline. Discount-led retention erodes margin and invites a rate war — the commodity trap the framework exists to escape.</w:t>
      </w:r>
    </w:p>
    <w:p>
      <w:pPr>
        <w:pStyle w:val="ListParagraph"/>
        <w:numPr>
          <w:ilvl w:val="0"/>
          <w:numId w:val="6"/>
        </w:numPr>
        <w:spacing w:after="90" w:line="264"/>
      </w:pPr>
      <w:r>
        <w:rPr>
          <w:b/>
          <w:bCs/>
        </w:rPr>
        <w:t xml:space="preserve">Proactive best-time coaching</w:t>
      </w:r>
      <w:r>
        <w:t xml:space="preserve"> — “wait three weeks, less rolls over.” Coaching to their best timing builds the advisor relationship.</w:t>
      </w:r>
    </w:p>
    <w:p>
      <w:pPr>
        <w:pStyle w:val="ListParagraph"/>
        <w:numPr>
          <w:ilvl w:val="0"/>
          <w:numId w:val="6"/>
        </w:numPr>
        <w:spacing w:after="90" w:line="264"/>
      </w:pPr>
      <w:r>
        <w:rPr>
          <w:b/>
          <w:bCs/>
        </w:rPr>
        <w:t xml:space="preserve">Rate / term benchmarking</w:t>
      </w:r>
      <w:r>
        <w:t xml:space="preserve"> — show where they stand versus what they would qualify for.</w:t>
      </w:r>
    </w:p>
    <w:p>
      <w:pPr>
        <w:pStyle w:val="ListParagraph"/>
        <w:numPr>
          <w:ilvl w:val="0"/>
          <w:numId w:val="6"/>
        </w:numPr>
        <w:spacing w:after="90" w:line="264"/>
      </w:pPr>
      <w:r>
        <w:rPr>
          <w:b/>
          <w:bCs/>
        </w:rPr>
        <w:t xml:space="preserve">Growth-capital conversation (if revenue supports it)</w:t>
      </w:r>
      <w:r>
        <w:t xml:space="preserve"> — open the path toward Rung 4.</w:t>
      </w:r>
    </w:p>
    <w:p>
      <w:pPr>
        <w:spacing w:after="160" w:line="276"/>
      </w:pPr>
      <w:r>
        <w:rPr>
          <w:b/>
          <w:bCs/>
          <w:color w:val="B8860B"/>
        </w:rPr>
        <w:t xml:space="preserve">Down-ladder / exit conditions. </w:t>
      </w:r>
      <w:r>
        <w:t xml:space="preserve">A bad season — burden rising, a second position appearing, a stress event — slides them toward Serial or Distressed. Catching this early on a previously-clean merchant is one of the highest-value alerts the system produces.</w:t>
      </w:r>
    </w:p>
    <w:p>
      <w:pPr>
        <w:pStyle w:val="Heading2"/>
      </w:pPr>
      <w:r>
        <w:t xml:space="preserve">4.5 Rung 4 — Growth Borrower</w:t>
      </w:r>
    </w:p>
    <w:p>
      <w:pPr>
        <w:spacing w:after="160" w:line="276"/>
      </w:pPr>
      <w:r>
        <w:rPr>
          <w:b/>
          <w:bCs/>
          <w:color w:val="0F5132"/>
        </w:rPr>
        <w:t xml:space="preserve">Definition. </w:t>
      </w:r>
      <w:r>
        <w:t xml:space="preserve">Takes more because the business genuinely grew. Capital is productive. Best LTV on the ladder.</w:t>
      </w:r>
    </w:p>
    <w:p>
      <w:pPr>
        <w:spacing w:after="160" w:line="276"/>
      </w:pPr>
      <w:r>
        <w:rPr>
          <w:b/>
          <w:bCs/>
          <w:color w:val="0F5132"/>
        </w:rPr>
        <w:t xml:space="preserve">Observable signals. </w:t>
      </w:r>
      <w:r>
        <w:t xml:space="preserve">Revenue trajectory up; advance size rising while burden ratio falls as a share of revenue (the defining tell — bigger advances, lighter relative load); capital tied to business events; long clean tenure.</w:t>
      </w:r>
    </w:p>
    <w:p>
      <w:pPr>
        <w:spacing w:after="160" w:line="276"/>
      </w:pPr>
      <w:r>
        <w:rPr>
          <w:b/>
          <w:bCs/>
          <w:color w:val="0F5132"/>
        </w:rPr>
        <w:t xml:space="preserve">Testable thresholds (hypotheses to calibrate).</w:t>
      </w:r>
    </w:p>
    <w:p>
      <w:pPr>
        <w:pStyle w:val="ListParagraph"/>
        <w:numPr>
          <w:ilvl w:val="0"/>
          <w:numId w:val="2"/>
        </w:numPr>
        <w:spacing w:after="90" w:line="264"/>
      </w:pPr>
      <w:r>
        <w:t xml:space="preserve">Advance size increasing across deals while burden ratio is flat or declining.</w:t>
      </w:r>
    </w:p>
    <w:p>
      <w:pPr>
        <w:pStyle w:val="ListParagraph"/>
        <w:numPr>
          <w:ilvl w:val="0"/>
          <w:numId w:val="2"/>
        </w:numPr>
        <w:spacing w:after="90" w:line="264"/>
      </w:pPr>
      <w:r>
        <w:t xml:space="preserve">Estimated revenue trajectory positive across the relationship.</w:t>
      </w:r>
    </w:p>
    <w:p>
      <w:pPr>
        <w:pStyle w:val="ListParagraph"/>
        <w:numPr>
          <w:ilvl w:val="0"/>
          <w:numId w:val="2"/>
        </w:numPr>
        <w:spacing w:after="90" w:line="264"/>
      </w:pPr>
      <w:r>
        <w:t xml:space="preserve">Clean history maintained through growth.</w:t>
      </w:r>
    </w:p>
    <w:p>
      <w:pPr>
        <w:spacing w:after="160" w:line="276"/>
      </w:pPr>
      <w:r>
        <w:rPr>
          <w:b/>
          <w:bCs/>
          <w:color w:val="0F5132"/>
        </w:rPr>
        <w:t xml:space="preserve">Classification logic. </w:t>
      </w:r>
      <w:r>
        <w:t xml:space="preserve">Growth if Disciplined-or-better AND the rising-advance-with-falling-relative-burden pattern holds. Growth is Discipline plus a positive business trajectory.</w:t>
      </w:r>
    </w:p>
    <w:p>
      <w:pPr>
        <w:spacing w:after="160" w:line="276"/>
      </w:pPr>
      <w:r>
        <w:rPr>
          <w:b/>
          <w:bCs/>
          <w:color w:val="0F5132"/>
        </w:rPr>
        <w:t xml:space="preserve">Target rung. </w:t>
      </w:r>
      <w:r>
        <w:t xml:space="preserve">Graduate — the honest endgame.</w:t>
      </w:r>
    </w:p>
    <w:p>
      <w:pPr>
        <w:spacing w:after="160" w:line="276"/>
      </w:pPr>
      <w:r>
        <w:rPr>
          <w:b/>
          <w:bCs/>
          <w:color w:val="0F5132"/>
        </w:rPr>
        <w:t xml:space="preserve">Climbing nudges, sequenced.</w:t>
      </w:r>
    </w:p>
    <w:p>
      <w:pPr>
        <w:pStyle w:val="ListParagraph"/>
        <w:numPr>
          <w:ilvl w:val="0"/>
          <w:numId w:val="7"/>
        </w:numPr>
        <w:spacing w:after="90" w:line="264"/>
      </w:pPr>
      <w:r>
        <w:rPr>
          <w:b/>
          <w:bCs/>
        </w:rPr>
        <w:t xml:space="preserve">Honest, well-structured upsell</w:t>
      </w:r>
      <w:r>
        <w:t xml:space="preserve"> — give them more, structured for productive use; partner, do not just fund.</w:t>
      </w:r>
    </w:p>
    <w:p>
      <w:pPr>
        <w:pStyle w:val="ListParagraph"/>
        <w:numPr>
          <w:ilvl w:val="0"/>
          <w:numId w:val="7"/>
        </w:numPr>
        <w:spacing w:after="90" w:line="264"/>
      </w:pPr>
      <w:r>
        <w:rPr>
          <w:b/>
          <w:bCs/>
        </w:rPr>
        <w:t xml:space="preserve">Benchmarking toward better products</w:t>
      </w:r>
      <w:r>
        <w:t xml:space="preserve"> — begin showing they are approaching qualification for cheaper capital.</w:t>
      </w:r>
    </w:p>
    <w:p>
      <w:pPr>
        <w:pStyle w:val="ListParagraph"/>
        <w:numPr>
          <w:ilvl w:val="0"/>
          <w:numId w:val="7"/>
        </w:numPr>
        <w:spacing w:after="90" w:line="264"/>
      </w:pPr>
      <w:r>
        <w:rPr>
          <w:b/>
          <w:bCs/>
        </w:rPr>
        <w:t xml:space="preserve">The early “you’re outgrowing this” conversation</w:t>
      </w:r>
      <w:r>
        <w:t xml:space="preserve"> — sets graduation up as a gift, not a loss.</w:t>
      </w:r>
    </w:p>
    <w:p>
      <w:pPr>
        <w:spacing w:after="160" w:line="276"/>
      </w:pPr>
      <w:r>
        <w:rPr>
          <w:b/>
          <w:bCs/>
          <w:color w:val="B8860B"/>
        </w:rPr>
        <w:t xml:space="preserve">Down-ladder / exit conditions. </w:t>
      </w:r>
      <w:r>
        <w:t xml:space="preserve">Growth stalls or revenue contracts → back to Disciplined or below; re-evaluate structure.</w:t>
      </w:r>
    </w:p>
    <w:p>
      <w:pPr>
        <w:pStyle w:val="Heading2"/>
      </w:pPr>
      <w:r>
        <w:t xml:space="preserve">4.6 Rung 5 — Graduate</w:t>
      </w:r>
    </w:p>
    <w:p>
      <w:pPr>
        <w:spacing w:after="160" w:line="276"/>
      </w:pPr>
      <w:r>
        <w:rPr>
          <w:b/>
          <w:bCs/>
          <w:color w:val="0F5132"/>
        </w:rPr>
        <w:t xml:space="preserve">Definition. </w:t>
      </w:r>
      <w:r>
        <w:t xml:space="preserve">Now qualifies for cheaper capital (line of credit, equipment loan, SBA). MCA has become the wrong product.</w:t>
      </w:r>
    </w:p>
    <w:p>
      <w:pPr>
        <w:spacing w:after="160" w:line="276"/>
      </w:pPr>
      <w:r>
        <w:rPr>
          <w:b/>
          <w:bCs/>
          <w:color w:val="0F5132"/>
        </w:rPr>
        <w:t xml:space="preserve">Observable signals. </w:t>
      </w:r>
      <w:r>
        <w:t xml:space="preserve">Strong sustained revenue and tenure; qualification indicators for conventional products; declining genuine need for MCA’s speed-for-cost tradeoff.</w:t>
      </w:r>
    </w:p>
    <w:p>
      <w:pPr>
        <w:spacing w:after="160" w:line="276"/>
      </w:pPr>
      <w:r>
        <w:rPr>
          <w:b/>
          <w:bCs/>
          <w:color w:val="0F5132"/>
        </w:rPr>
        <w:t xml:space="preserve">Testable thresholds (hypotheses to calibrate).</w:t>
      </w:r>
    </w:p>
    <w:p>
      <w:pPr>
        <w:pStyle w:val="ListParagraph"/>
        <w:numPr>
          <w:ilvl w:val="0"/>
          <w:numId w:val="2"/>
        </w:numPr>
        <w:spacing w:after="90" w:line="264"/>
      </w:pPr>
      <w:r>
        <w:t xml:space="preserve">Qualification indicators for conventional products present.</w:t>
      </w:r>
    </w:p>
    <w:p>
      <w:pPr>
        <w:pStyle w:val="ListParagraph"/>
        <w:numPr>
          <w:ilvl w:val="0"/>
          <w:numId w:val="2"/>
        </w:numPr>
        <w:spacing w:after="90" w:line="264"/>
      </w:pPr>
      <w:r>
        <w:t xml:space="preserve">Sustained strong revenue and long clean tenure.</w:t>
      </w:r>
    </w:p>
    <w:p>
      <w:pPr>
        <w:spacing w:after="160" w:line="276"/>
      </w:pPr>
      <w:r>
        <w:rPr>
          <w:b/>
          <w:bCs/>
          <w:color w:val="0F5132"/>
        </w:rPr>
        <w:t xml:space="preserve">Classification logic. </w:t>
      </w:r>
      <w:r>
        <w:t xml:space="preserve">Graduate if Growth-or-better AND qualification indicators for cheaper products are present.</w:t>
      </w:r>
    </w:p>
    <w:p>
      <w:pPr>
        <w:spacing w:after="160" w:line="276"/>
      </w:pPr>
      <w:r>
        <w:rPr>
          <w:b/>
          <w:bCs/>
          <w:color w:val="0F5132"/>
        </w:rPr>
        <w:t xml:space="preserve">Target rung. </w:t>
      </w:r>
      <w:r>
        <w:t xml:space="preserve">Stays a graduate — and becomes the highest-value referral source and reputation asset in the book.</w:t>
      </w:r>
    </w:p>
    <w:p>
      <w:pPr>
        <w:spacing w:after="160" w:line="276"/>
      </w:pPr>
      <w:r>
        <w:rPr>
          <w:b/>
          <w:bCs/>
          <w:color w:val="0F5132"/>
        </w:rPr>
        <w:t xml:space="preserve">Climbing nudges, sequenced.</w:t>
      </w:r>
    </w:p>
    <w:p>
      <w:pPr>
        <w:pStyle w:val="ListParagraph"/>
        <w:numPr>
          <w:ilvl w:val="0"/>
          <w:numId w:val="8"/>
        </w:numPr>
        <w:spacing w:after="90" w:line="264"/>
      </w:pPr>
      <w:r>
        <w:rPr>
          <w:b/>
          <w:bCs/>
        </w:rPr>
        <w:t xml:space="preserve">The graduation referral</w:t>
      </w:r>
      <w:r>
        <w:t xml:space="preserve"> — help them to the better product even though we stop being the funder.</w:t>
      </w:r>
    </w:p>
    <w:p>
      <w:pPr>
        <w:pStyle w:val="ListParagraph"/>
        <w:numPr>
          <w:ilvl w:val="0"/>
          <w:numId w:val="8"/>
        </w:numPr>
        <w:spacing w:after="90" w:line="264"/>
      </w:pPr>
      <w:r>
        <w:rPr>
          <w:b/>
          <w:bCs/>
        </w:rPr>
        <w:t xml:space="preserve">Advisor-for-life cadence</w:t>
      </w:r>
      <w:r>
        <w:t xml:space="preserve"> — stay in touch; they refer everyone and return the day they need speed again.</w:t>
      </w:r>
    </w:p>
    <w:p>
      <w:pPr>
        <w:spacing w:after="160" w:line="276"/>
      </w:pPr>
      <w:r>
        <w:rPr>
          <w:b/>
          <w:bCs/>
          <w:color w:val="B8860B"/>
        </w:rPr>
        <w:t xml:space="preserve">Down-ladder / exit conditions. </w:t>
      </w:r>
      <w:r>
        <w:t xml:space="preserve">A sudden cash need brings them back to MCA temporarily — re-enter at the appropriate rung, but with maximum trust banked.</w:t>
      </w:r>
    </w:p>
    <w:p>
      <w:pPr>
        <w:pStyle w:val="Heading2"/>
      </w:pPr>
      <w:r>
        <w:t xml:space="preserve">4.7 The classification engine, end to end</w:t>
      </w:r>
    </w:p>
    <w:p>
      <w:pPr>
        <w:spacing w:after="160" w:line="276"/>
      </w:pPr>
      <w:r>
        <w:t xml:space="preserve">The engine runs as a </w:t>
      </w:r>
      <w:r>
        <w:rPr>
          <w:b/>
          <w:bCs/>
        </w:rPr>
        <w:t xml:space="preserve">waterfall with overrides</w:t>
      </w:r>
      <w:r>
        <w:t xml:space="preserve">: evaluate Distressed first (its OR-conditions catch the highest-risk merchants and override everything below), then Serial, then Disciplined, then Growth, then Graduate — with any active stress signal able to pull a merchant down regardless of other attributes. Every pass emits a record of the form:</w:t>
      </w:r>
    </w:p>
    <w:p>
      <w:pPr>
        <w:pBdr>
          <w:left w:val="single" w:color="B8860B" w:sz="18" w:space="6"/>
        </w:pBdr>
        <w:shd w:fill="F7EFD8" w:val="clear"/>
        <w:spacing w:after="160" w:before="60"/>
      </w:pPr>
      <w:r>
        <w:rPr>
          <w:rFonts w:ascii="Consolas" w:cs="Consolas" w:eastAsia="Consolas" w:hAnsi="Consolas"/>
          <w:color w:val="1A1A1A"/>
          <w:sz w:val="20"/>
          <w:szCs w:val="20"/>
        </w:rPr>
        <w:t xml:space="preserve">{ rung, confidence, missing_signals[ ], direction_of_travel }</w:t>
      </w:r>
    </w:p>
    <w:p>
      <w:pPr>
        <w:spacing w:after="160" w:line="276"/>
      </w:pPr>
      <w:r>
        <w:t xml:space="preserve">The missing_signals list feeds the data-capture roadmap; direction_of_travel (climbing / holding / sliding) is what lets the daily queue prioritize a sliding disciplined merchant over a stable one. The numbers throughout are hypotheses; the structure is the specification.</w:t>
      </w:r>
    </w:p>
    <w:p>
      <w:pPr>
        <w:pBdr>
          <w:bottom w:val="single" w:color="B8860B" w:sz="6" w:space="1"/>
        </w:pBdr>
        <w:spacing w:after="160" w:before="80"/>
      </w:pPr>
    </w:p>
    <w:p>
      <w:pPr>
        <w:pStyle w:val="Heading1"/>
      </w:pPr>
      <w:r>
        <w:t xml:space="preserve">5. High-Level Technology Framework</w:t>
      </w:r>
    </w:p>
    <w:p>
      <w:pPr>
        <w:spacing w:after="160" w:line="276"/>
      </w:pPr>
      <w:r>
        <w:t xml:space="preserve">The framework maps onto Morgan Cash’s existing Azure / Databricks stack and the Microsoft Graph and Twilio rails already built for the submission pipeline and routing engine. This is assembly, not greenfield. Five layers, bottom up, with a single-source-of-truth discipline that keeps every layer in agreement about where a merchant stands.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0F5132" w:val="clear"/>
            <w:tcMar>
              <w:top w:type="dxa" w:w="90"/>
              <w:left w:type="dxa" w:w="120"/>
              <w:bottom w:type="dxa" w:w="90"/>
              <w:right w:type="dxa" w:w="120"/>
            </w:tcMar>
            <w:vAlign w:val="center"/>
          </w:tcPr>
          <w:p>
            <w:r>
              <w:rPr>
                <w:b/>
                <w:bCs/>
                <w:color w:val="FFFFFF"/>
                <w:sz w:val="20"/>
                <w:szCs w:val="20"/>
              </w:rPr>
              <w:t xml:space="preserve">Layer</w:t>
            </w:r>
          </w:p>
        </w:tc>
        <w:tc>
          <w:tcPr>
            <w:tcW w:type="dxa" w:w="4360"/>
            <w:tcBorders>
              <w:top w:val="single" w:color="CCCCCC" w:sz="1"/>
              <w:left w:val="single" w:color="CCCCCC" w:sz="1"/>
              <w:bottom w:val="single" w:color="CCCCCC" w:sz="1"/>
              <w:right w:val="single" w:color="CCCCCC" w:sz="1"/>
            </w:tcBorders>
            <w:shd w:fill="0F5132" w:val="clear"/>
            <w:tcMar>
              <w:top w:type="dxa" w:w="90"/>
              <w:left w:type="dxa" w:w="120"/>
              <w:bottom w:type="dxa" w:w="90"/>
              <w:right w:type="dxa" w:w="120"/>
            </w:tcMar>
            <w:vAlign w:val="center"/>
          </w:tcPr>
          <w:p>
            <w:r>
              <w:rPr>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0F5132" w:val="clear"/>
            <w:tcMar>
              <w:top w:type="dxa" w:w="90"/>
              <w:left w:type="dxa" w:w="120"/>
              <w:bottom w:type="dxa" w:w="90"/>
              <w:right w:type="dxa" w:w="120"/>
            </w:tcMar>
            <w:vAlign w:val="center"/>
          </w:tcPr>
          <w:p>
            <w:r>
              <w:rPr>
                <w:b/>
                <w:bCs/>
                <w:color w:val="FFFFFF"/>
                <w:sz w:val="20"/>
                <w:szCs w:val="20"/>
              </w:rPr>
              <w:t xml:space="preserve">Built 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1. Ingestion &amp; Lakehouse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Salesforce funded book → bronze / silver / gold; raw → cleaned → merchant-level feature table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Databricks on Azure, Unity Catalog, bundled ingestion job</w:t>
            </w:r>
          </w:p>
        </w:tc>
      </w:tr>
      <w:tr>
        <w:tc>
          <w:tcPr>
            <w:tcW w:type="dxa" w:w="24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bCs/>
                <w:color w:val="1A1A1A"/>
                <w:sz w:val="19"/>
                <w:szCs w:val="19"/>
              </w:rPr>
              <w:t xml:space="preserve">2. Identity &amp; Feature</w:t>
            </w:r>
          </w:p>
        </w:tc>
        <w:tc>
          <w:tcPr>
            <w:tcW w:type="dxa" w:w="436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Resolve every deal to a canonical merchant; compute burden, paydown, factor-trend, intervals, position counts</w:t>
            </w:r>
          </w:p>
        </w:tc>
        <w:tc>
          <w:tcPr>
            <w:tcW w:type="dxa" w:w="26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PySpark; AATM-style entity resolution (name + EIN + address + principal)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3. Classification &amp; Prediction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Phase-0 rules engine assigns rung + confidence; rung-conditioned next-event prediction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SQL / PySpark rules first; MLflow seam for learned models later</w:t>
            </w:r>
          </w:p>
        </w:tc>
      </w:tr>
      <w:tr>
        <w:tc>
          <w:tcPr>
            <w:tcW w:type="dxa" w:w="24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bCs/>
                <w:color w:val="1A1A1A"/>
                <w:sz w:val="19"/>
                <w:szCs w:val="19"/>
              </w:rPr>
              <w:t xml:space="preserve">4. Orchestration &amp; State Machine</w:t>
            </w:r>
          </w:p>
        </w:tc>
        <w:tc>
          <w:tcPr>
            <w:tcW w:type="dxa" w:w="436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Daily advance through states; detect transitions; generate the action queue; log history</w:t>
            </w:r>
          </w:p>
        </w:tc>
        <w:tc>
          <w:tcPr>
            <w:tcW w:type="dxa" w:w="26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Scheduled Databricks workflow over the full gold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5. Activation &amp; Advisory Comms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Merchant artifacts (position statement, consolidation math); floor queue; honest outbound comms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Microsoft Graph (email), Twilio (SMS), LiteLLM for grounded drafting</w:t>
            </w:r>
          </w:p>
        </w:tc>
      </w:tr>
    </w:tbl>
    <w:p>
      <w:pPr>
        <w:spacing w:after="60"/>
      </w:pPr>
    </w:p>
    <w:p>
      <w:pPr>
        <w:pStyle w:val="Heading2"/>
      </w:pPr>
      <w:r>
        <w:t xml:space="preserve">5.1 The make-or-break transform</w:t>
      </w:r>
    </w:p>
    <w:p>
      <w:pPr>
        <w:spacing w:after="160" w:line="276"/>
      </w:pPr>
      <w:r>
        <w:t xml:space="preserve">Layer 2’s identity resolution is the critical dependency: cadence detection and multi-position detection both require linking multiple deals to one business. Everything derivable from original deal terms — paydown estimates, burden, factor-trend — is computed deterministically here, which is how the framework extracts maximum value despite thin post-funding data.</w:t>
      </w:r>
    </w:p>
    <w:p>
      <w:pPr>
        <w:spacing w:after="160" w:line="276"/>
      </w:pPr>
      <w:r>
        <w:rPr>
          <w:b/>
          <w:bCs/>
        </w:rPr>
        <w:t xml:space="preserve">Validated against Salesforce. </w:t>
      </w:r>
      <w:r>
        <w:t xml:space="preserve">Inspection of real funded-deal records confirmed two things. First, Salesforce already groups Opportunities (one per advance) under a parent Merchant object, so identity resolution validates and extends an existing linkage rather than building from zero. Second — and this defines the whole feature layer — Salesforce captures the deal at funding but does not keep it current: its stored Remaining Balance, Percentage Paid, and Estimated Renewal Date are frozen snapshots (one read 100% paid on a defaulted deal). The framework therefore ingests the static terms and recomputes every time-dependent value daily. That live layer is precisely the value the system adds over the system of record.</w:t>
      </w:r>
    </w:p>
    <w:p>
      <w:pPr>
        <w:pStyle w:val="Heading2"/>
      </w:pPr>
      <w:r>
        <w:t xml:space="preserve">5.2 The single source of truth</w:t>
      </w:r>
    </w:p>
    <w:p>
      <w:pPr>
        <w:spacing w:after="160" w:line="276"/>
      </w:pPr>
      <w:r>
        <w:t xml:space="preserve">The gold merchant-feature table is the one place every layer above it reads from — so classification, prediction, comms, and the floor queue can never disagree about where a merchant stands. </w:t>
      </w:r>
      <w:r>
        <w:rPr>
          <w:b/>
          <w:bCs/>
        </w:rPr>
        <w:t xml:space="preserve">That discipline is what makes the system trustworthy enough to automate honest advice.</w:t>
      </w:r>
    </w:p>
    <w:p>
      <w:pPr>
        <w:pStyle w:val="Heading2"/>
      </w:pPr>
      <w:r>
        <w:t xml:space="preserve">5.3 Honesty as an engineering constraint</w:t>
      </w:r>
    </w:p>
    <w:p>
      <w:pPr>
        <w:spacing w:after="160" w:line="276"/>
      </w:pPr>
      <w:r>
        <w:t xml:space="preserve">The LLM layer drafts consultative communications from structured merchant facts — grounded in the computed numbers, never inventing them. This keeps the advisory truthful and keeps Morgan Cash clear of commercial-financing-disclosure exposure. The compliant version, the honest version, and the durable-revenue version are the same version.</w:t>
      </w:r>
    </w:p>
    <w:p>
      <w:pPr>
        <w:pStyle w:val="Heading2"/>
      </w:pPr>
      <w:r>
        <w:t xml:space="preserve">5.4 Modular by design — lego blocks, not a monolith</w:t>
      </w:r>
    </w:p>
    <w:p>
      <w:pPr>
        <w:spacing w:after="160" w:line="276"/>
      </w:pPr>
      <w:r>
        <w:t xml:space="preserve">The five layers are built as independent blocks that connect through stable contracts, not through each other’s internals. Each block reads a defined input shape and writes a defined output shape, and knows nothing about how its neighbours work. That is what lets any one block be replaced or upgraded without disturbing the others.</w:t>
      </w:r>
    </w:p>
    <w:p>
      <w:pPr>
        <w:spacing w:after="160" w:line="276"/>
      </w:pPr>
      <w:r>
        <w:rPr>
          <w:b/>
          <w:bCs/>
        </w:rPr>
        <w:t xml:space="preserve">The central contract is the gold merchant table. </w:t>
      </w:r>
      <w:r>
        <w:t xml:space="preserve">Everything below it writes into it; everything above it reads from it; no block reads another block’s working data directly. So when the classification block swaps its rules engine for a learned model in Phase 6, the orchestration and presentation blocks do not change — they still read the same {rung, confidence, predicted_event} shape. The model upgrade is invisible downstream.</w:t>
      </w:r>
    </w:p>
    <w:p>
      <w:pPr>
        <w:spacing w:after="160" w:line="276"/>
      </w:pPr>
      <w:r>
        <w:t xml:space="preserve">The presentation block is deliberately split from the computation blocks: numbers are computed once below, phrased once here. This is why the floor queue and the future merchant app are siblings reading the same presentation objects — the app is a third consumer plugged into a socket that already exists, not a second pipeline. The gold table is the one commitment that is expensive to change later; everything else is swappable, which is why its grain is designed before any ETL.</w:t>
      </w:r>
    </w:p>
    <w:p>
      <w:pPr>
        <w:pStyle w:val="Heading2"/>
      </w:pPr>
      <w:r>
        <w:t xml:space="preserve">5.5 Two cross-cutting blocks</w:t>
      </w:r>
    </w:p>
    <w:p>
      <w:pPr>
        <w:spacing w:after="160" w:line="276"/>
      </w:pPr>
      <w:r>
        <w:t xml:space="preserve">Not shown on the layer diagram but part of the spec: an event log records every computation and every outbound touch — it is both the Phase-6 learning data and the merchant app’s future activity feed — and Unity Catalog provides governance and lineage across the whole stack. Both are inexpensive to add early and costly to reconstruct later.</w:t>
      </w:r>
    </w:p>
    <w:p>
      <w:pPr>
        <w:pStyle w:val="Heading2"/>
      </w:pPr>
      <w:r>
        <w:t xml:space="preserve">5.6 The compliance / disclosure block — first-class, not an afterthought</w:t>
      </w:r>
    </w:p>
    <w:p>
      <w:pPr>
        <w:spacing w:after="160" w:line="276"/>
      </w:pPr>
      <w:r>
        <w:t xml:space="preserve">Research into the regulatory landscape (Section 11) elevated compliance from a footnote to a first-class architectural block, sitting between presentation and the activation surfaces and inspecting every outbound presentation object before it reaches any channel. It performs three jobs: it tags each merchant with their governing state; it gates any communication that crosses from advice into a specific offer through the correct jurisdiction’s disclosure template; and it controls regulated language (notably the use of “rate” and “interest”). Because computation is separated from presentation, this block inspects the same presentation objects regardless of channel — email, SMS, or app — which is why the separation pays off twice. The design goal, following industry practice, is that each new jurisdiction is a configuration update, not an engineering project.</w:t>
      </w:r>
    </w:p>
    <w:p>
      <w:pPr>
        <w:pStyle w:val="Heading2"/>
      </w:pPr>
      <w:r>
        <w:t xml:space="preserve">5.7 The Offer Engine — reusing the routing engine, pointed at the book</w:t>
      </w:r>
    </w:p>
    <w:p>
      <w:pPr>
        <w:spacing w:after="160" w:line="276"/>
      </w:pPr>
      <w:r>
        <w:t xml:space="preserve">The prediction models answer one half of “when do we go back to a merchant” — the demand clock (rhythm and likelihood). They are deliberately blind to eligibility and to what could actually be offered. Those are not predictions; they are a deterministic calculation and a lookup. The Offer Engine supplies that second half and is, importantly, not new construction: it reuses Morgan Cash’s existing funder-criteria dataset and routing engine, simply pointed at the existing book on a schedule rather than at a single inbound deal.</w:t>
      </w:r>
    </w:p>
    <w:p>
      <w:pPr>
        <w:spacing w:after="160" w:line="276"/>
      </w:pPr>
      <w:r>
        <w:rPr>
          <w:b/>
          <w:bCs/>
          <w:color w:val="0F5132"/>
        </w:rPr>
        <w:t xml:space="preserve">What it does. </w:t>
      </w:r>
      <w:r>
        <w:t xml:space="preserve">For each merchant it takes the profile (vertical, time in business, estimated revenue, position count, health) and the computed eligibility (paydown, capacity headroom from the amortization clock) and runs them against current funder criteria to produce what the merchant could credibly obtain right now: a renewal at better terms, a consolidating buyout, a larger advance on genuine growth, or nothing yet when capacity says wait. That output is what makes outreach concrete — not “want more money?” but “you are now eligible for X at terms Y, and here is why it is or is not a good idea for you.”</w:t>
      </w:r>
    </w:p>
    <w:p>
      <w:pPr>
        <w:spacing w:after="160" w:line="276"/>
      </w:pPr>
      <w:r>
        <w:rPr>
          <w:b/>
          <w:bCs/>
          <w:color w:val="0F5132"/>
        </w:rPr>
        <w:t xml:space="preserve">Reactive becomes proactive. </w:t>
      </w:r>
      <w:r>
        <w:t xml:space="preserve">The routing engine today fires when a new deal arrives. The framework runs the same logic proactively against the funded book on a cadence — which is precisely how a merchant who became buyout- or renewal-eligible last week is caught before a competitor’s offer lands. This is the mechanism behind “tapping them early.”</w:t>
      </w:r>
    </w:p>
    <w:p>
      <w:pPr>
        <w:spacing w:after="160" w:line="276"/>
      </w:pPr>
      <w:r>
        <w:rPr>
          <w:b/>
          <w:bCs/>
          <w:color w:val="B8860B"/>
        </w:rPr>
        <w:t xml:space="preserve">It proposes; advisory and compliance dispose. </w:t>
      </w:r>
      <w:r>
        <w:t xml:space="preserve">The Offer Engine generates options, not decisions. The advisory layer judges whether presenting an option is genuinely good for the merchant (a buyout it can match may still be a double-dip that should not be pitched), and the compliance block judges whether the communication has crossed from advice into a regulated offer. Without those gates the engine quietly becomes a “sell more money” machine — the exact outcome the framework exists to avoid. Its quality also depends on the funder-criteria dataset being kept current, which is ongoing work the existing routing framework already addresses.</w:t>
      </w:r>
    </w:p>
    <w:p>
      <w:pPr>
        <w:pStyle w:val="Heading3"/>
      </w:pPr>
      <w:r>
        <w:t xml:space="preserve">Renewal vs. buyout — the structure decision</w:t>
      </w:r>
    </w:p>
    <w:p>
      <w:pPr>
        <w:spacing w:after="160" w:line="276"/>
      </w:pPr>
      <w:r>
        <w:t xml:space="preserve">A real pattern in the book sharpens what “advise honestly” means. When a merchant comes back fast and hungry — renewing only days into a position, before meaningful paydown, and asking for a larger advance — the transactional reflex is to book the renewal. But renewing a barely-paid position rolls almost the entire old balance into a new, larger advance at a fresh factor: the most expensive form of the double-dip. The advisory response is not “approve the renewal” but “what structure is right for this merchant?” Often a consolidating buyout — one funder taking out the existing position into a single, cleaner facility — is the kinder structure, and it still earns the transaction. The framework therefore treats rapid early re-up as a demand signal that triggers a structure evaluation: the Offer Engine computes both the renewal and the buyout (surfacing the double-dip delta), and the advisory layer presents whichever genuinely favors the merchant — including a third honest answer, “wait and pay down first,” when neither structure helps. Buyout is not assumed superior; the math decides, with the merchant’s interest as the tiebreaker. This is the serial merchant being served well rather than milked, and it is the clearest single illustration that a rung drives a decision among structures, not just a label.</w:t>
      </w:r>
    </w:p>
    <w:p>
      <w:pPr>
        <w:spacing w:after="160" w:line="276"/>
      </w:pPr>
      <w:r>
        <w:t xml:space="preserve">With the Offer Engine in place, the full answer to “when, and with what?” comes from four components in concert: the clock says whether they are eligible; the models say whether they are likely in-market and not slipping away; the Offer Engine says what could actually be put in front of them; and the advisory and compliance layer says whether and how to present it honestly. The state machine watches all four and fires the play when they align. The prediction model is necessary but not sufficient — it is one specialist among four.</w:t>
      </w:r>
    </w:p>
    <w:p>
      <w:pPr>
        <w:pStyle w:val="Heading2"/>
      </w:pPr>
      <w:r>
        <w:t xml:space="preserve">5.8 Portfolio Analytics / Book Health — the scoreboard</w:t>
      </w:r>
    </w:p>
    <w:p>
      <w:pPr>
        <w:spacing w:after="160" w:line="276"/>
      </w:pPr>
      <w:r>
        <w:t xml:space="preserve">Everything above is merchant-level: one merchant, their rung, their next event. Morgan Cash also needs the portfolio-level view — how the renewal book performs as a book. This is not a reporting afterthought; it is the scoreboard that keeps the thesis honest. The framework depends on rewarding rung-transitions and book health rather than this-month’s closings, and this block is where that is measured. Without it there is no way to see whether merchants are actually climbing, whether defaults are being avoided, or whether the book is getting healthier rather than merely busier.</w:t>
      </w:r>
    </w:p>
    <w:p>
      <w:pPr>
        <w:spacing w:after="160" w:line="276"/>
      </w:pPr>
      <w:r>
        <w:t xml:space="preserve">Architecturally it is a read-only aggregation consumer sitting alongside the floor queue and the merchant app — a third renderer over the gold table — with one addition: time. Book health is about trends, so it reads the rung-transition history in the event log, not just the current snapshot. Because those transitions are already logged for the learning loop, this block costs almost nothing to add. It surfaces three views: book health (rung distribution and its drift over time, renewal capture rate of eligible merchants, defection rate and destination, default and restructure trend, aggregate book-LTV trajectory); renewal performance (time-to-contact after a window opens, play-SLA adherence, value-to-ask ratio, offer-acceptance by rung and funder); and leading indicators (count of merchants sliding down rungs, count approaching eligibility next period, and concentration risk by funder, vertical, and rung).</w:t>
      </w:r>
    </w:p>
    <w:p>
      <w:pPr>
        <w:pBdr>
          <w:bottom w:val="single" w:color="B8860B" w:sz="6" w:space="1"/>
        </w:pBdr>
        <w:spacing w:after="160" w:before="80"/>
      </w:pPr>
    </w:p>
    <w:p>
      <w:pPr>
        <w:pStyle w:val="Heading2"/>
      </w:pPr>
      <w:r>
        <w:t xml:space="preserve">5.9 The Agentic Layer — articulate, extract, orchestrate (never compute the spine)</w:t>
      </w:r>
    </w:p>
    <w:p>
      <w:pPr>
        <w:spacing w:after="160" w:line="276"/>
      </w:pPr>
      <w:r>
        <w:t xml:space="preserve">The system uses AI in two distinct ways that must not be confused. The prediction block uses statistical models. Separately, a defined agentic layer performs the dynamic, multi-step, tool-using work that cannot be written as fixed rules. The governing principle: an agent earns its place only when a task needs judgment over an unpredictable path; anything that can be a rule or a formula stays a rule or a formula. Most of this framework is deliberately deterministic, and that is a feature — it is what makes the system auditable and compliant.</w:t>
      </w:r>
    </w:p>
    <w:p>
      <w:pPr>
        <w:spacing w:after="160" w:line="276"/>
      </w:pPr>
      <w:r>
        <w:rPr>
          <w:b/>
          <w:bCs/>
          <w:color w:val="0F5132"/>
        </w:rPr>
        <w:t xml:space="preserve">Spine vs. layer. </w:t>
      </w:r>
      <w:r>
        <w:t xml:space="preserve">There is a deterministic spine — ingest, clock, classify, predict, compute offers — that must stay rules-and-math. Agents live in a layer around that spine and do three things: articulate (compose language), extract (read messy inputs), and orchestrate (sequence a decision). The spine never moves into the agent layer; the agent layer never recomputes the spine’s outputs. Every agent calls deterministic tools for anything that must be correct or auditable, and is grounded strictly in computed facts — it composes and reasons, it does not invent numbers.</w:t>
      </w:r>
    </w:p>
    <w:p>
      <w:pPr>
        <w:spacing w:after="160" w:line="276"/>
      </w:pPr>
      <w:r>
        <w:rPr>
          <w:b/>
          <w:bCs/>
          <w:color w:val="B8860B"/>
        </w:rPr>
        <w:t xml:space="preserve">Where agents must NOT go. </w:t>
      </w:r>
      <w:r>
        <w:t xml:space="preserve">The amortization clock, the rung classifier, the burden and eligibility math, the compliance gate, and the prediction models. These are deterministic by design; an agent here would destroy the auditability the framework was built for. “The rules fired” is an acceptable answer to “why was I classified this way”; “an agent reasoned about it” is not.</w:t>
      </w:r>
    </w:p>
    <w:p>
      <w:pPr>
        <w:spacing w:after="160" w:line="276"/>
      </w:pPr>
      <w:r>
        <w:t xml:space="preserve">Four specialist agents, each with a narrow job, deterministic tools, and a sprint home:</w:t>
      </w:r>
    </w:p>
    <w:p>
      <w:pPr>
        <w:pStyle w:val="ListParagraph"/>
        <w:numPr>
          <w:ilvl w:val="0"/>
          <w:numId w:val="2"/>
        </w:numPr>
        <w:spacing w:after="90" w:line="264"/>
      </w:pPr>
      <w:r>
        <w:rPr>
          <w:b/>
          <w:bCs/>
        </w:rPr>
        <w:t xml:space="preserve">Advisory Composer — </w:t>
      </w:r>
      <w:r>
        <w:t xml:space="preserve">drafts personalized, honest, compliant outreach from a merchant’s computed facts (rung, balance, offer options, double-dip math). Composes the words; the figures are handed to it. Tools: gold-table read, presentation objects, the compliance gate. The strongest fit; lives in the comms sprint.</w:t>
      </w:r>
    </w:p>
    <w:p>
      <w:pPr>
        <w:pStyle w:val="ListParagraph"/>
        <w:numPr>
          <w:ilvl w:val="0"/>
          <w:numId w:val="2"/>
        </w:numPr>
        <w:spacing w:after="90" w:line="264"/>
      </w:pPr>
      <w:r>
        <w:rPr>
          <w:b/>
          <w:bCs/>
        </w:rPr>
        <w:t xml:space="preserve">Statement Analyst — </w:t>
      </w:r>
      <w:r>
        <w:t xml:space="preserve">parses bank statements (OCR + transaction-line classification) to recover true concurrent positions and total debit burden, including the other funders Salesforce cannot see. Extracts; the deterministic rules then count positions and classify the rung. The best technical agent candidate; its own sprint.</w:t>
      </w:r>
    </w:p>
    <w:p>
      <w:pPr>
        <w:pStyle w:val="ListParagraph"/>
        <w:numPr>
          <w:ilvl w:val="0"/>
          <w:numId w:val="2"/>
        </w:numPr>
        <w:spacing w:after="90" w:line="264"/>
      </w:pPr>
      <w:r>
        <w:rPr>
          <w:b/>
          <w:bCs/>
        </w:rPr>
        <w:t xml:space="preserve">Structure Advisor — </w:t>
      </w:r>
      <w:r>
        <w:t xml:space="preserve">on a rapid-re-up trigger, orchestrates the renewal-vs-buyout-vs-wait decision: pulls offer options, calls the double-dip calculator (a deterministic tool), weighs against capacity, and recommends the structure that genuinely favors the merchant, with a rationale. Orchestrates and explains; the math stays a tool it calls.</w:t>
      </w:r>
    </w:p>
    <w:p>
      <w:pPr>
        <w:pStyle w:val="ListParagraph"/>
        <w:numPr>
          <w:ilvl w:val="0"/>
          <w:numId w:val="2"/>
        </w:numPr>
        <w:spacing w:after="90" w:line="264"/>
      </w:pPr>
      <w:r>
        <w:rPr>
          <w:b/>
          <w:bCs/>
        </w:rPr>
        <w:t xml:space="preserve">Data Steward — </w:t>
      </w:r>
      <w:r>
        <w:t xml:space="preserve">triages data quality over messy real records: flags date contradictions, classifies default-cause from free-text Notes (true-default vs. early-payoff vs. restructured), and routes anomalies for review. Fuzzy classification the rules cannot do; upgrades the interim “unknown” default routing.</w:t>
      </w:r>
    </w:p>
    <w:p>
      <w:pPr>
        <w:spacing w:after="160" w:line="276"/>
      </w:pPr>
      <w:r>
        <w:t xml:space="preserve">The pattern is constant across all four: the agent does the fuzzy, linguistic, or judgment work and calls deterministic tools for anything that must be correct. This mirrors the Mosaic AI Agent Framework / Genie sub-agent pattern — a coordinating layer of focused agents on a trustworthy data foundation. Three disciplines keep it safe: agents arrive in the later sprints (the spine and the facts must exist first); they run on narrow, high-value moments (composing one message, parsing one statement) rather than bulk daily computation, which stays deterministic for cost, latency, and reliability; and every merchant-facing agent action is grounded in computed facts and logged to the event log, because in a regulated advisory context “the agent decided” is never an acceptable answer.</w:t>
      </w:r>
    </w:p>
    <w:p>
      <w:pPr>
        <w:pBdr>
          <w:bottom w:val="single" w:color="B8860B" w:sz="6" w:space="1"/>
        </w:pBdr>
        <w:spacing w:after="160" w:before="80"/>
      </w:pPr>
    </w:p>
    <w:p>
      <w:pPr>
        <w:pStyle w:val="Heading1"/>
      </w:pPr>
      <w:r>
        <w:t xml:space="preserve">6. The Long-Term Destination — Merchant Advisory App</w:t>
      </w:r>
    </w:p>
    <w:p>
      <w:pPr>
        <w:spacing w:after="160" w:line="276"/>
      </w:pPr>
      <w:r>
        <w:t xml:space="preserve">The framework is two-sided by nature; the merchant app simply names the merchant side. The position statement, the burden summary, the consolidation calculator, the capacity guidance and the best-time coaching are already merchant-facing artifacts — today delivered as outbound pushes. The app is the place those same artifacts live so the merchant can pull them whenever they want. It is not a second product; it is the merchant’s window into the same gold-table truth the floor sees. Same data, same honesty engine, different audience.</w:t>
      </w:r>
    </w:p>
    <w:p>
      <w:pPr>
        <w:pStyle w:val="Heading2"/>
      </w:pPr>
      <w:r>
        <w:t xml:space="preserve">6.1 Why it strengthens the moat</w:t>
      </w:r>
    </w:p>
    <w:p>
      <w:pPr>
        <w:pStyle w:val="ListParagraph"/>
        <w:numPr>
          <w:ilvl w:val="0"/>
          <w:numId w:val="2"/>
        </w:numPr>
        <w:spacing w:after="90" w:line="264"/>
      </w:pPr>
      <w:r>
        <w:rPr>
          <w:b/>
          <w:bCs/>
        </w:rPr>
        <w:t xml:space="preserve">From campaign to utility. </w:t>
      </w:r>
      <w:r>
        <w:t xml:space="preserve">An email cadence must keep earning attention; an app the merchant opens to check “where do I stand this week” becomes a habit — and the advisor relationship is precisely a habit. When a competitor’s buyout offer lands, the merchant models “is this good for me?” inside our walls, with our math.</w:t>
      </w:r>
    </w:p>
    <w:p>
      <w:pPr>
        <w:pStyle w:val="ListParagraph"/>
        <w:numPr>
          <w:ilvl w:val="0"/>
          <w:numId w:val="2"/>
        </w:numPr>
        <w:spacing w:after="90" w:line="264"/>
      </w:pPr>
      <w:r>
        <w:rPr>
          <w:b/>
          <w:bCs/>
        </w:rPr>
        <w:t xml:space="preserve">It flips the data problem. </w:t>
      </w:r>
      <w:r>
        <w:t xml:space="preserve">Thin post-funding data is the central constraint. A merchant who logs in, links a bank feed, or reports a new position hands over the post-funding signal we otherwise cannot get — willingly, because they receive clarity in return. Better data feeds better advice feeds more engagement feeds better data.</w:t>
      </w:r>
    </w:p>
    <w:p>
      <w:pPr>
        <w:pStyle w:val="ListParagraph"/>
        <w:numPr>
          <w:ilvl w:val="0"/>
          <w:numId w:val="2"/>
        </w:numPr>
        <w:spacing w:after="90" w:line="264"/>
      </w:pPr>
      <w:r>
        <w:rPr>
          <w:b/>
          <w:bCs/>
        </w:rPr>
        <w:t xml:space="preserve">It makes graduation non-suicidal. </w:t>
      </w:r>
      <w:r>
        <w:t xml:space="preserve">If the relationship lives in an app the merchant keeps using, they graduate inside the product and stay a referrer and a returner rather than walking away.</w:t>
      </w:r>
    </w:p>
    <w:p>
      <w:pPr>
        <w:pStyle w:val="Heading2"/>
      </w:pPr>
      <w:r>
        <w:t xml:space="preserve">6.2 The design rule that protects the thesis</w:t>
      </w:r>
    </w:p>
    <w:p>
      <w:pPr>
        <w:spacing w:after="160" w:line="276"/>
      </w:pPr>
      <w:r>
        <w:rPr>
          <w:b/>
          <w:bCs/>
          <w:color w:val="0F5132"/>
        </w:rPr>
        <w:t xml:space="preserve">The app’s default screen is the merchant’s situation, not our offer.</w:t>
      </w:r>
      <w:r>
        <w:t xml:space="preserve"> It opens on “here is exactly where you stand” — positions, weekly burden, payoff dates, health trend. The offer, when it appears, is framed as advice off that situation, and the app must be willing to say “don’t take money right now” on its own home screen. If it can do that, it is a buddy; if it cannot, it is a billboard. That single discipline separates this from every ISO portal that already exists and failed to build loyalty.</w:t>
      </w:r>
    </w:p>
    <w:p>
      <w:pPr>
        <w:pStyle w:val="Heading2"/>
      </w:pPr>
      <w:r>
        <w:t xml:space="preserve">6.3 Candidate features — the climbing nudges, made self-serve</w:t>
      </w:r>
    </w:p>
    <w:p>
      <w:pPr>
        <w:pStyle w:val="ListParagraph"/>
        <w:numPr>
          <w:ilvl w:val="0"/>
          <w:numId w:val="2"/>
        </w:numPr>
        <w:spacing w:after="90" w:line="264"/>
      </w:pPr>
      <w:r>
        <w:t xml:space="preserve">Position dashboard — the live “where I stand,” the universal value surface for every rung.</w:t>
      </w:r>
    </w:p>
    <w:p>
      <w:pPr>
        <w:pStyle w:val="ListParagraph"/>
        <w:numPr>
          <w:ilvl w:val="0"/>
          <w:numId w:val="2"/>
        </w:numPr>
        <w:spacing w:after="90" w:line="264"/>
      </w:pPr>
      <w:r>
        <w:t xml:space="preserve">Burden and health meter — distress early-warning shown to the merchant so they self-correct.</w:t>
      </w:r>
    </w:p>
    <w:p>
      <w:pPr>
        <w:pStyle w:val="ListParagraph"/>
        <w:numPr>
          <w:ilvl w:val="0"/>
          <w:numId w:val="2"/>
        </w:numPr>
        <w:spacing w:after="90" w:line="264"/>
      </w:pPr>
      <w:r>
        <w:t xml:space="preserve">Buyout / consolidation modeler — the merchant runs a competitor’s offer through our honest math.</w:t>
      </w:r>
    </w:p>
    <w:p>
      <w:pPr>
        <w:pStyle w:val="ListParagraph"/>
        <w:numPr>
          <w:ilvl w:val="0"/>
          <w:numId w:val="2"/>
        </w:numPr>
        <w:spacing w:after="90" w:line="264"/>
      </w:pPr>
      <w:r>
        <w:t xml:space="preserve">Best-time-to-renew indicator — the rhythm-builder for the serial-to-disciplined climb.</w:t>
      </w:r>
    </w:p>
    <w:p>
      <w:pPr>
        <w:pStyle w:val="ListParagraph"/>
        <w:numPr>
          <w:ilvl w:val="0"/>
          <w:numId w:val="2"/>
        </w:numPr>
        <w:spacing w:after="90" w:line="264"/>
      </w:pPr>
      <w:r>
        <w:t xml:space="preserve">Readiness tracker — “what I’d qualify for,” the growth and graduation path made visible.</w:t>
      </w:r>
    </w:p>
    <w:p>
      <w:pPr>
        <w:pStyle w:val="ListParagraph"/>
        <w:numPr>
          <w:ilvl w:val="0"/>
          <w:numId w:val="2"/>
        </w:numPr>
        <w:spacing w:after="90" w:line="264"/>
      </w:pPr>
      <w:r>
        <w:t xml:space="preserve">A funding request that is the last tab, not the first — present and frictionless, never the headline.</w:t>
      </w:r>
    </w:p>
    <w:p>
      <w:pPr>
        <w:pStyle w:val="Heading2"/>
      </w:pPr>
      <w:r>
        <w:t xml:space="preserve">6.4 Honest constraints</w:t>
      </w:r>
    </w:p>
    <w:p>
      <w:pPr>
        <w:spacing w:after="160" w:line="276"/>
      </w:pPr>
      <w:r>
        <w:t xml:space="preserve">This is a real product — authentication, bank-linking, security, and a disclosure-accuracy bar even higher than email — and it is a later phase, not an early one. The app is only as good as the gold-table truth behind it, so it follows the data spine rather than leading it. The outbound advisory comms are version zero of the app without the app: same artifacts, pushed. If they land and merchants engage, the app is the proven next step, and engagement data shows which artifacts to build first. The app earns its way in on evidence.</w:t>
      </w:r>
    </w:p>
    <w:p>
      <w:pPr>
        <w:pBdr>
          <w:bottom w:val="single" w:color="B8860B" w:sz="6" w:space="1"/>
        </w:pBdr>
        <w:spacing w:after="160" w:before="80"/>
      </w:pPr>
    </w:p>
    <w:p>
      <w:pPr>
        <w:pStyle w:val="Heading1"/>
      </w:pPr>
      <w:r>
        <w:t xml:space="preserve">7. Building App-Aware — Foundation Decisions</w:t>
      </w:r>
    </w:p>
    <w:p>
      <w:pPr>
        <w:spacing w:after="160" w:line="276"/>
      </w:pPr>
      <w:r>
        <w:rPr>
          <w:b/>
          <w:bCs/>
        </w:rPr>
        <w:t xml:space="preserve">Governing principle: build the foundation app-aware, but ship floor-first.</w:t>
      </w:r>
      <w:r>
        <w:t xml:space="preserve"> Every architectural decision is made as if the merchant app exists, because those decisions are cheap now and expensive to retrofit. But every unit of build effort goes to the floor capability first, because that is what validates the framework and earns the app. The test for any decision: would I design this differently if I knew a merchant would eventually read from it? Where yes, make the app-aware choice now; where no, ignore the app and do not gold-plate.</w:t>
      </w:r>
    </w:p>
    <w:p>
      <w:pPr>
        <w:pStyle w:val="Heading2"/>
      </w:pPr>
      <w:r>
        <w:t xml:space="preserve">7.1 The five decisions to make now</w:t>
      </w:r>
    </w:p>
    <w:p>
      <w:pPr>
        <w:pStyle w:val="ListParagraph"/>
        <w:numPr>
          <w:ilvl w:val="0"/>
          <w:numId w:val="9"/>
        </w:numPr>
        <w:spacing w:after="90" w:line="264"/>
      </w:pPr>
      <w:r>
        <w:rPr>
          <w:b/>
          <w:bCs/>
        </w:rPr>
        <w:t xml:space="preserve">One source of truth for both audiences. </w:t>
      </w:r>
      <w:r>
        <w:t xml:space="preserve">The gold table’s grain is per-merchant, point-in-time, fully-derived. The merchant’s “where I stand” and the rep’s view must be the same computed numbers from the same table, or contradictions will destroy the trust. This is the one decision that, if wrong, forces a rebuild.</w:t>
      </w:r>
    </w:p>
    <w:p>
      <w:pPr>
        <w:pStyle w:val="ListParagraph"/>
        <w:numPr>
          <w:ilvl w:val="0"/>
          <w:numId w:val="9"/>
        </w:numPr>
        <w:spacing w:after="90" w:line="264"/>
      </w:pPr>
      <w:r>
        <w:rPr>
          <w:b/>
          <w:bCs/>
        </w:rPr>
        <w:t xml:space="preserve">Separate computation from presentation, hard. </w:t>
      </w:r>
      <w:r>
        <w:t xml:space="preserve">The numbers and the rung logic live in the compute layer; how they are phrased is a separate layer. The same fact becomes a terse rep note and a friendly merchant sentence — two renderers over one truth, neither able to invent. This is also the honesty guarantee.</w:t>
      </w:r>
    </w:p>
    <w:p>
      <w:pPr>
        <w:pStyle w:val="ListParagraph"/>
        <w:numPr>
          <w:ilvl w:val="0"/>
          <w:numId w:val="9"/>
        </w:numPr>
        <w:spacing w:after="90" w:line="264"/>
      </w:pPr>
      <w:r>
        <w:rPr>
          <w:b/>
          <w:bCs/>
        </w:rPr>
        <w:t xml:space="preserve">Design advisory artifacts as data objects, not emails. </w:t>
      </w:r>
      <w:r>
        <w:t xml:space="preserve">Define each artifact (inputs, computed outputs, recommendation) as a structured object the moment it is built for Phase 4. An email is one rendering; an app screen is another rendering of the same object. Build objects now and the app is re-skinning, not re-deriving.</w:t>
      </w:r>
    </w:p>
    <w:p>
      <w:pPr>
        <w:pStyle w:val="ListParagraph"/>
        <w:numPr>
          <w:ilvl w:val="0"/>
          <w:numId w:val="9"/>
        </w:numPr>
        <w:spacing w:after="90" w:line="264"/>
      </w:pPr>
      <w:r>
        <w:rPr>
          <w:b/>
          <w:bCs/>
        </w:rPr>
        <w:t xml:space="preserve">Treat merchant identity as a first-class entity now. </w:t>
      </w:r>
      <w:r>
        <w:t xml:space="preserve">The canonical merchant from identity resolution is the unit the gold table is keyed on, the unit comms address, and the unit that will someday own a login. Build no auth now, but ensure a clean, stable identity that auth can later attach to.</w:t>
      </w:r>
    </w:p>
    <w:p>
      <w:pPr>
        <w:pStyle w:val="ListParagraph"/>
        <w:numPr>
          <w:ilvl w:val="0"/>
          <w:numId w:val="9"/>
        </w:numPr>
        <w:spacing w:after="90" w:line="264"/>
      </w:pPr>
      <w:r>
        <w:rPr>
          <w:b/>
          <w:bCs/>
        </w:rPr>
        <w:t xml:space="preserve">Capture every signal and touch as events from the start. </w:t>
      </w:r>
      <w:r>
        <w:t xml:space="preserve">Even floor-only, log every computed rung and every outbound touch. It is the Phase-6 learning data and the app’s future activity feed — nearly free to add early, miserable to reconstruct later.</w:t>
      </w:r>
    </w:p>
    <w:p>
      <w:pPr>
        <w:pStyle w:val="Heading2"/>
      </w:pPr>
      <w:r>
        <w:t xml:space="preserve">7.2 What to deliberately defer</w:t>
      </w:r>
    </w:p>
    <w:p>
      <w:pPr>
        <w:spacing w:after="160" w:line="276"/>
      </w:pPr>
      <w:r>
        <w:t xml:space="preserve">Do not build authentication, bank-linking, mobile UI, or any merchant-facing surface until the data spine is proven. Do not design app screens or pick a frontend framework. All the app-aware work above is backend shape — table grain, layer separation, object design, identity, events — none of it is app construction. App-aware architecture is cheap and done now; app construction is expensive and deferred until evidence justifies it.</w:t>
      </w:r>
    </w:p>
    <w:p>
      <w:pPr>
        <w:pStyle w:val="Heading2"/>
      </w:pPr>
      <w:r>
        <w:t xml:space="preserve">7.3 The one-line plan</w:t>
      </w:r>
    </w:p>
    <w:p>
      <w:pPr>
        <w:pBdr>
          <w:left w:val="single" w:color="B8860B" w:sz="18" w:space="8"/>
        </w:pBdr>
        <w:shd w:fill="F7EFD8" w:val="clear"/>
        <w:spacing w:after="120" w:before="100"/>
      </w:pPr>
      <w:r>
        <w:rPr>
          <w:i/>
          <w:iCs/>
          <w:color w:val="1A1A1A"/>
          <w:sz w:val="22"/>
          <w:szCs w:val="22"/>
        </w:rPr>
        <w:t xml:space="preserve">Design the data contract once for both audiences; build the floor capability first; log everything as events and structure everything as objects; add the merchant front door when the content is proven.</w:t>
      </w:r>
    </w:p>
    <w:p>
      <w:pPr>
        <w:pBdr>
          <w:bottom w:val="single" w:color="B8860B" w:sz="6" w:space="1"/>
        </w:pBdr>
        <w:spacing w:after="160" w:before="80"/>
      </w:pPr>
    </w:p>
    <w:p>
      <w:pPr>
        <w:pStyle w:val="Heading1"/>
      </w:pPr>
      <w:r>
        <w:t xml:space="preserve">8. Phased Roadmap</w:t>
      </w:r>
    </w:p>
    <w:p>
      <w:pPr>
        <w:spacing w:after="160" w:line="276"/>
      </w:pPr>
      <w:r>
        <w:t xml:space="preserve">Each phase ships standalone value. Coverage and returns are never gated on the sophisticated parts being finished — the deterministic and rules-based layers carry real weight from the start.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0F5132" w:val="clear"/>
            <w:tcMar>
              <w:top w:type="dxa" w:w="90"/>
              <w:left w:type="dxa" w:w="120"/>
              <w:bottom w:type="dxa" w:w="90"/>
              <w:right w:type="dxa" w:w="120"/>
            </w:tcMar>
            <w:vAlign w:val="center"/>
          </w:tcPr>
          <w:p>
            <w:r>
              <w:rPr>
                <w:b/>
                <w:bCs/>
                <w:color w:val="FFFFFF"/>
                <w:sz w:val="20"/>
                <w:szCs w:val="20"/>
              </w:rPr>
              <w:t xml:space="preserve">Phase</w:t>
            </w:r>
          </w:p>
        </w:tc>
        <w:tc>
          <w:tcPr>
            <w:tcW w:type="dxa" w:w="4360"/>
            <w:tcBorders>
              <w:top w:val="single" w:color="CCCCCC" w:sz="1"/>
              <w:left w:val="single" w:color="CCCCCC" w:sz="1"/>
              <w:bottom w:val="single" w:color="CCCCCC" w:sz="1"/>
              <w:right w:val="single" w:color="CCCCCC" w:sz="1"/>
            </w:tcBorders>
            <w:shd w:fill="0F5132" w:val="clear"/>
            <w:tcMar>
              <w:top w:type="dxa" w:w="90"/>
              <w:left w:type="dxa" w:w="120"/>
              <w:bottom w:type="dxa" w:w="90"/>
              <w:right w:type="dxa" w:w="120"/>
            </w:tcMar>
            <w:vAlign w:val="center"/>
          </w:tcPr>
          <w:p>
            <w:r>
              <w:rPr>
                <w:b/>
                <w:bCs/>
                <w:color w:val="FFFFFF"/>
                <w:sz w:val="20"/>
                <w:szCs w:val="20"/>
              </w:rPr>
              <w:t xml:space="preserve">Outcome</w:t>
            </w:r>
          </w:p>
        </w:tc>
        <w:tc>
          <w:tcPr>
            <w:tcW w:type="dxa" w:w="2800"/>
            <w:tcBorders>
              <w:top w:val="single" w:color="CCCCCC" w:sz="1"/>
              <w:left w:val="single" w:color="CCCCCC" w:sz="1"/>
              <w:bottom w:val="single" w:color="CCCCCC" w:sz="1"/>
              <w:right w:val="single" w:color="CCCCCC" w:sz="1"/>
            </w:tcBorders>
            <w:shd w:fill="0F5132" w:val="clear"/>
            <w:tcMar>
              <w:top w:type="dxa" w:w="90"/>
              <w:left w:type="dxa" w:w="120"/>
              <w:bottom w:type="dxa" w:w="90"/>
              <w:right w:type="dxa" w:w="120"/>
            </w:tcMar>
            <w:vAlign w:val="center"/>
          </w:tcPr>
          <w:p>
            <w:r>
              <w:rPr>
                <w:b/>
                <w:bCs/>
                <w:color w:val="FFFFFF"/>
                <w:sz w:val="20"/>
                <w:szCs w:val="20"/>
              </w:rPr>
              <w:t xml:space="preserve">Standalone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0 — Framework on paper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This document: testable rung definitions, targets, nudge sequences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Shared, aligned strategy; defines the data schema</w:t>
            </w:r>
          </w:p>
        </w:tc>
      </w:tr>
      <w:tr>
        <w:tc>
          <w:tcPr>
            <w:tcW w:type="dxa" w:w="22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bCs/>
                <w:color w:val="1A1A1A"/>
                <w:sz w:val="19"/>
                <w:szCs w:val="19"/>
              </w:rPr>
              <w:t xml:space="preserve">1 — Data-needs map</w:t>
            </w:r>
          </w:p>
        </w:tc>
        <w:tc>
          <w:tcPr>
            <w:tcW w:type="dxa" w:w="436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Each threshold → the exact field required; have / derive / must-capture verdict</w:t>
            </w:r>
          </w:p>
        </w:tc>
        <w:tc>
          <w:tcPr>
            <w:tcW w:type="dxa" w:w="28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Reveals which rungs are classifiable on day 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2 — Salesforce → lake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Funded book in the lake, modeled by the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Single source of truth established</w:t>
            </w:r>
          </w:p>
        </w:tc>
      </w:tr>
      <w:tr>
        <w:tc>
          <w:tcPr>
            <w:tcW w:type="dxa" w:w="22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bCs/>
                <w:color w:val="1A1A1A"/>
                <w:sz w:val="19"/>
                <w:szCs w:val="19"/>
              </w:rPr>
              <w:t xml:space="preserve">3 — Classify the book</w:t>
            </w:r>
          </w:p>
        </w:tc>
        <w:tc>
          <w:tcPr>
            <w:tcW w:type="dxa" w:w="436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Rules-based rung + confidence for every merchant</w:t>
            </w:r>
          </w:p>
        </w:tc>
        <w:tc>
          <w:tcPr>
            <w:tcW w:type="dxa" w:w="28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Seeing the book correctly — more than exists today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4 — Advisory comms engine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Value-first touches, then rung-specific cadences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Trust built across the book before any model</w:t>
            </w:r>
          </w:p>
        </w:tc>
      </w:tr>
      <w:tr>
        <w:tc>
          <w:tcPr>
            <w:tcW w:type="dxa" w:w="22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bCs/>
                <w:color w:val="1A1A1A"/>
                <w:sz w:val="19"/>
                <w:szCs w:val="19"/>
              </w:rPr>
              <w:t xml:space="preserve">5 — “Every merchant, every time”</w:t>
            </w:r>
          </w:p>
        </w:tc>
        <w:tc>
          <w:tcPr>
            <w:tcW w:type="dxa" w:w="436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State machine + daily pushed queue</w:t>
            </w:r>
          </w:p>
        </w:tc>
        <w:tc>
          <w:tcPr>
            <w:tcW w:type="dxa" w:w="28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No merchant unattended; no in-market merchant missed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6 — Close the loop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Rung-transition metrics; learned climbing paths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The moat: proven sequences that move merchants up</w:t>
            </w:r>
          </w:p>
        </w:tc>
      </w:tr>
      <w:tr>
        <w:tc>
          <w:tcPr>
            <w:tcW w:type="dxa" w:w="22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bCs/>
                <w:color w:val="1A1A1A"/>
                <w:sz w:val="19"/>
                <w:szCs w:val="19"/>
              </w:rPr>
              <w:t xml:space="preserve">7 — Merchant app</w:t>
            </w:r>
          </w:p>
        </w:tc>
        <w:tc>
          <w:tcPr>
            <w:tcW w:type="dxa" w:w="436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Self-serve front door; second renderer over the gold table</w:t>
            </w:r>
          </w:p>
        </w:tc>
        <w:tc>
          <w:tcPr>
            <w:tcW w:type="dxa" w:w="28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Habit, willing data capture, durable graduation</w:t>
            </w:r>
          </w:p>
        </w:tc>
      </w:tr>
    </w:tbl>
    <w:p>
      <w:pPr>
        <w:spacing w:after="60"/>
      </w:pPr>
    </w:p>
    <w:p>
      <w:pPr>
        <w:spacing w:after="160" w:line="276"/>
      </w:pPr>
      <w:r>
        <w:t xml:space="preserve">Immediate next step: </w:t>
      </w:r>
      <w:r>
        <w:rPr>
          <w:b/>
          <w:bCs/>
        </w:rPr>
        <w:t xml:space="preserve">Phase 1, the data-needs map</w:t>
      </w:r>
      <w:r>
        <w:t xml:space="preserve"> — taking each threshold in Section 4 and listing the exact Salesforce field or derived feature required to compute it, with a have-it / derive-it / must-capture verdict. That map is the direct bridge into the migration and surfaces, before any ETL, which rungs can be classified on day one.</w:t>
      </w:r>
    </w:p>
    <w:p>
      <w:pPr>
        <w:pBdr>
          <w:bottom w:val="single" w:color="B8860B" w:sz="6" w:space="1"/>
        </w:pBdr>
        <w:spacing w:after="160" w:before="80"/>
      </w:pPr>
    </w:p>
    <w:p>
      <w:pPr>
        <w:pStyle w:val="Heading1"/>
      </w:pPr>
      <w:r>
        <w:t xml:space="preserve">9. Measuring Success</w:t>
      </w:r>
    </w:p>
    <w:p>
      <w:pPr>
        <w:spacing w:after="160" w:line="276"/>
      </w:pPr>
      <w:r>
        <w:t xml:space="preserve">The scoreboard must reward the thesis, or the thesis erodes. Primary metrics track the climb and the relationship, not merely this month’s closings:</w:t>
      </w:r>
    </w:p>
    <w:p>
      <w:pPr>
        <w:pStyle w:val="ListParagraph"/>
        <w:numPr>
          <w:ilvl w:val="0"/>
          <w:numId w:val="2"/>
        </w:numPr>
        <w:spacing w:after="90" w:line="264"/>
      </w:pPr>
      <w:r>
        <w:rPr>
          <w:b/>
          <w:bCs/>
        </w:rPr>
        <w:t xml:space="preserve">Rung transitions — </w:t>
      </w:r>
      <w:r>
        <w:t xml:space="preserve">merchants moved up a rung; the primary success metric.</w:t>
      </w:r>
    </w:p>
    <w:p>
      <w:pPr>
        <w:pStyle w:val="ListParagraph"/>
        <w:numPr>
          <w:ilvl w:val="0"/>
          <w:numId w:val="2"/>
        </w:numPr>
        <w:spacing w:after="90" w:line="264"/>
      </w:pPr>
      <w:r>
        <w:rPr>
          <w:b/>
          <w:bCs/>
        </w:rPr>
        <w:t xml:space="preserve">Defaults avoided — </w:t>
      </w:r>
      <w:r>
        <w:t xml:space="preserve">distressed merchants stabilized or gracefully off-boarded rather than fed.</w:t>
      </w:r>
    </w:p>
    <w:p>
      <w:pPr>
        <w:pStyle w:val="ListParagraph"/>
        <w:numPr>
          <w:ilvl w:val="0"/>
          <w:numId w:val="2"/>
        </w:numPr>
        <w:spacing w:after="90" w:line="264"/>
      </w:pPr>
      <w:r>
        <w:rPr>
          <w:b/>
          <w:bCs/>
        </w:rPr>
        <w:t xml:space="preserve">Graduates retained as referrers — </w:t>
      </w:r>
      <w:r>
        <w:t xml:space="preserve">relationship and reputation value beyond direct funding.</w:t>
      </w:r>
    </w:p>
    <w:p>
      <w:pPr>
        <w:pStyle w:val="ListParagraph"/>
        <w:numPr>
          <w:ilvl w:val="0"/>
          <w:numId w:val="2"/>
        </w:numPr>
        <w:spacing w:after="90" w:line="264"/>
      </w:pPr>
      <w:r>
        <w:rPr>
          <w:b/>
          <w:bCs/>
        </w:rPr>
        <w:t xml:space="preserve">Relationship LTV and book health — </w:t>
      </w:r>
      <w:r>
        <w:t xml:space="preserve">the structural-honesty guardrails, primary from day one.</w:t>
      </w:r>
    </w:p>
    <w:p>
      <w:pPr>
        <w:pStyle w:val="ListParagraph"/>
        <w:numPr>
          <w:ilvl w:val="0"/>
          <w:numId w:val="2"/>
        </w:numPr>
        <w:spacing w:after="90" w:line="264"/>
      </w:pPr>
      <w:r>
        <w:rPr>
          <w:b/>
          <w:bCs/>
        </w:rPr>
        <w:t xml:space="preserve">Capture rate and time-to-contact — </w:t>
      </w:r>
      <w:r>
        <w:t xml:space="preserve">of in-market merchants, the operational execution measure.</w:t>
      </w:r>
    </w:p>
    <w:p>
      <w:pPr>
        <w:spacing w:after="160" w:line="276"/>
      </w:pPr>
      <w:r>
        <w:t xml:space="preserve">Once transition outcomes accumulate, the prediction and nudge-selection sharpen, and the system begins to learn the specific sequences that reliably move merchants up the ladder — path-knowledge no competitor running blind one-off pitches can match.</w:t>
      </w:r>
    </w:p>
    <w:p>
      <w:pPr>
        <w:spacing w:after="160" w:line="276"/>
      </w:pPr>
      <w:r>
        <w:t xml:space="preserve">These metrics are not scattered across reports; they live in the Portfolio Analytics / Book Health block (Section 5.8), which aggregates them from the gold table and the rung-transition history and trends them over time. That block is the management scoreboard that keeps the framework’s incentives honest.</w:t>
      </w:r>
    </w:p>
    <w:p>
      <w:pPr>
        <w:pBdr>
          <w:bottom w:val="single" w:color="B8860B" w:sz="6" w:space="1"/>
        </w:pBdr>
        <w:spacing w:after="160" w:before="80"/>
      </w:pPr>
    </w:p>
    <w:p>
      <w:pPr>
        <w:pStyle w:val="Heading1"/>
      </w:pPr>
      <w:r>
        <w:t xml:space="preserve">10. Scope &amp; Honest Boundaries</w:t>
      </w:r>
    </w:p>
    <w:p>
      <w:pPr>
        <w:spacing w:after="160" w:line="276"/>
      </w:pPr>
      <w:r>
        <w:t xml:space="preserve">Stated so the vision stays real:</w:t>
      </w:r>
    </w:p>
    <w:p>
      <w:pPr>
        <w:pStyle w:val="ListParagraph"/>
        <w:numPr>
          <w:ilvl w:val="0"/>
          <w:numId w:val="2"/>
        </w:numPr>
        <w:spacing w:after="90" w:line="264"/>
      </w:pPr>
      <w:r>
        <w:t xml:space="preserve">It is not a magic predictor that nails an exact date for every merchant. For serial and distressed merchants the answer is “in-market now / imminently,” which is enough to act.</w:t>
      </w:r>
    </w:p>
    <w:p>
      <w:pPr>
        <w:pStyle w:val="ListParagraph"/>
        <w:numPr>
          <w:ilvl w:val="0"/>
          <w:numId w:val="2"/>
        </w:numPr>
        <w:spacing w:after="90" w:line="264"/>
      </w:pPr>
      <w:r>
        <w:t xml:space="preserve">It is not a system that saves every merchant. Some distressed merchants exit, and the framework is honest about graceful off-boarding versus extraction.</w:t>
      </w:r>
    </w:p>
    <w:p>
      <w:pPr>
        <w:pStyle w:val="ListParagraph"/>
        <w:numPr>
          <w:ilvl w:val="0"/>
          <w:numId w:val="2"/>
        </w:numPr>
        <w:spacing w:after="90" w:line="264"/>
      </w:pPr>
      <w:r>
        <w:t xml:space="preserve">It is not gated on machine learning. Deterministic and rules-based layers carry real value from day one; learning makes the edges sharper over time.</w:t>
      </w:r>
    </w:p>
    <w:p>
      <w:pPr>
        <w:pStyle w:val="ListParagraph"/>
        <w:numPr>
          <w:ilvl w:val="0"/>
          <w:numId w:val="2"/>
        </w:numPr>
        <w:spacing w:after="90" w:line="264"/>
      </w:pPr>
      <w:r>
        <w:t xml:space="preserve">It does not yet incorporate UCC data. Multi-position detection in v1.0 relies on disclosed-positions-at-funding and repeat-deal linkage; external lien data can be layered later without changing the architecture.</w:t>
      </w:r>
    </w:p>
    <w:p>
      <w:pPr>
        <w:spacing w:after="60"/>
      </w:pPr>
    </w:p>
    <w:p>
      <w:pPr>
        <w:pBdr>
          <w:left w:val="single" w:color="0F5132" w:sz="18" w:space="8"/>
        </w:pBdr>
        <w:shd w:fill="E3EFE9" w:val="clear"/>
        <w:spacing w:after="120" w:before="120"/>
      </w:pPr>
      <w:r>
        <w:rPr>
          <w:i/>
          <w:iCs/>
          <w:color w:val="0F5132"/>
          <w:sz w:val="22"/>
          <w:szCs w:val="22"/>
        </w:rPr>
        <w:t xml:space="preserve">The destination: the system that lets Morgan Cash treat every merchant the way a great private banker treats a client — knowing them, anticipating their needs, advising them honestly, and being there first — at the scale of the entire book, automatically.</w:t>
      </w:r>
    </w:p>
    <w:p>
      <w:pPr>
        <w:pBdr>
          <w:bottom w:val="single" w:color="B8860B" w:sz="6" w:space="1"/>
        </w:pBdr>
        <w:spacing w:after="160" w:before="80"/>
      </w:pPr>
    </w:p>
    <w:p>
      <w:pPr>
        <w:pStyle w:val="Heading1"/>
      </w:pPr>
      <w:r>
        <w:t xml:space="preserve">11. Research Validation &amp; Framework Amendments</w:t>
      </w:r>
    </w:p>
    <w:p>
      <w:pPr>
        <w:spacing w:after="160" w:line="276"/>
      </w:pPr>
      <w:r>
        <w:t xml:space="preserve">Before committing to a data contract, the framework was pressure-tested against four domains — MCA, financial modeling, sales, and data/technology — plus the regulatory landscape. The thesis was validated in its core economics and, in several places, found to mirror documented academic and industry constructs. The research also produced targeted amendments, recorded here so the reasoning is preserved. Source publications are listed at the end of the section; specifics should be confirmed with counsel where legal questions arise.</w:t>
      </w:r>
    </w:p>
    <w:p>
      <w:pPr>
        <w:pStyle w:val="Heading2"/>
      </w:pPr>
      <w:r>
        <w:t xml:space="preserve">11.1 MCA domain — economics validated; two mechanics reshape the build</w:t>
      </w:r>
    </w:p>
    <w:p>
      <w:pPr>
        <w:spacing w:after="160" w:line="276"/>
      </w:pPr>
      <w:r>
        <w:t xml:space="preserve">The retention thesis is economically sound: industry data indicates the majority of MCA renewals come from merchants who previously worked with the same ISO, renewals carry recurring residual commissions, and renewals are widely regarded as the most profitable activity in the channel. Two mechanics proved more important than first credited. First, the double-dip: a renewal pays off the current balance with a new, costlier advance, and the predatory variant deducts unearned interest and fees so the merchant pays twice for the same money. An honest double-dip calculator already exists in the market as a trust tool — confirming that the framework’s consolidation modeler is a validated concept, and that it must explicitly model unearned charges. Second, stacking can constitute a default of the existing agreement, which means the advisory logic must steer toward consolidation (a payoff renewal) and away from piling on — protecting both the merchant and Morgan Cash. A corollary benefit: distressed merchants have a real exit channel via MCA debt-relief and restructuring programs, which pay partners over the restructured term, making graceful off-boarding a referral rather than a dead end.</w:t>
      </w:r>
    </w:p>
    <w:p>
      <w:pPr>
        <w:spacing w:after="160" w:line="276"/>
      </w:pPr>
      <w:r>
        <w:rPr>
          <w:b/>
          <w:bCs/>
          <w:color w:val="B8860B"/>
        </w:rPr>
        <w:t xml:space="preserve">Precondition raised: </w:t>
      </w:r>
      <w:r>
        <w:t xml:space="preserve">ISO agreements contain data-ownership and renewal-rights clauses. Morgan Cash must confirm it holds the rights to use the funded-book data this way and owns the renewal rights it is optimizing for. This is a legal gate on Phase 2.</w:t>
      </w:r>
    </w:p>
    <w:p>
      <w:pPr>
        <w:pStyle w:val="Heading2"/>
      </w:pPr>
      <w:r>
        <w:t xml:space="preserve">11.2 Financial domain — a named, explainable prediction toolkit</w:t>
      </w:r>
    </w:p>
    <w:p>
      <w:pPr>
        <w:spacing w:after="160" w:line="276"/>
      </w:pPr>
      <w:r>
        <w:t xml:space="preserve">The “when will they take more money” question is a time-to-event (survival) problem with an established toolkit, including for the sparse-data case. Notably, the survival literature models customer movement across states as one unified attrition process — the framework’s bidirectional ladder is a documented construct — and shows survival methods reveal not only which factors drive an event but when to intervene. The amended prediction path is staged and explainable: RFM features as the cheap base; BG/NBD with Gamma-Gamma (“Buy Till You Die”) for next-event count, defection probability, and lifetime value from minimal data; Cox proportional hazards for the multivariate “when,” correctly treating not-yet-renewed merchants as censored rather than missing; and a multi-state transition model as the formal ladder once transition history exists. This replaces the earlier generic “learned time-to-event model” with specific, auditable techniques — important for a regulated, advice-giving product.</w:t>
      </w:r>
    </w:p>
    <w:p>
      <w:pPr>
        <w:pStyle w:val="Heading2"/>
      </w:pPr>
      <w:r>
        <w:t xml:space="preserve">11.3 Sales domain — validated, with one correction</w:t>
      </w:r>
    </w:p>
    <w:p>
      <w:pPr>
        <w:spacing w:after="160" w:line="276"/>
      </w:pPr>
      <w:r>
        <w:t xml:space="preserve">The behavioral thesis held: a small retention gain drives a large profit gain; going dark after funding is the core failure mode; and the trusted-advisor transition is driven by ongoing education and proactive, anticipatory outreach, with a quarterly touch as the practical cadence floor. Three amendments follow. The loyalty-pricing nudge at Rung 3 is corrected to value-first, price-last, because discount-led retention erodes margin and invites a rate war. The daily queue is operationalized as named plays, each with an owner and a response-time SLA, which is what makes “every merchant, every time” enforceable. And rep compensation is tied to data completeness and rung-transitions — a documented fix for chronic CRM-completeness problems that simultaneously hard-wires the structural-honesty guardrail the thesis depends on.</w:t>
      </w:r>
    </w:p>
    <w:p>
      <w:pPr>
        <w:pStyle w:val="Heading2"/>
      </w:pPr>
      <w:r>
        <w:t xml:space="preserve">11.4 Data &amp; technology domain — native components remove redundant work</w:t>
      </w:r>
    </w:p>
    <w:p>
      <w:pPr>
        <w:spacing w:after="160" w:line="276"/>
      </w:pPr>
      <w:r>
        <w:t xml:space="preserve">The existing Azure / Databricks stack now offers purpose-built components that replace work the framework would otherwise hand-build, directly serving the goal of avoiding redundant effort. Lakeflow Connect (generally available for Salesforce) provides managed ingestion with change-data-capture for Block 1. The gold table is formalized as a Feature Store table, which packages feature-lookup with the model artifact and eliminates online/offline skew — the single-source-of-truth discipline enforced by the platform. Lakebase, a managed Postgres synchronized with Delta tables, becomes the low-latency serving layer that both the floor queue and the future merchant app read from — the missing piece that lets the app be a renderer rather than a rebuild. Model Serving with inference tables automatically logs prediction inputs and outputs, delivering the Phase-6 learning data and the regulatory audit trail in one. Reverse ETL pushes rung, next-action, and play back into Salesforce so reps work in one tool.</w:t>
      </w:r>
    </w:p>
    <w:p>
      <w:pPr>
        <w:pStyle w:val="Heading2"/>
      </w:pPr>
      <w:r>
        <w:t xml:space="preserve">11.5 The regulatory finding — compliance becomes architecture</w:t>
      </w:r>
    </w:p>
    <w:p>
      <w:pPr>
        <w:spacing w:after="160" w:line="276"/>
      </w:pPr>
      <w:r>
        <w:t xml:space="preserve">The most consequential cross-cutting finding: roughly ten states now have commercial financing disclosure laws, several of which target sales-based financing (MCA) specifically and regulate brokers — Virginia and Missouri, for example, require broker registration, with common exemptions for very low transaction counts and advances above a threshold. Most significant for the advisory layer, California’s SB 362 (effective January 1, 2026) restricts deceptive use of the terms “rate” and “interest” and requires APR disclosure and re-disclosure for offers at or below a threshold amount. Disclosure obligations generally attach at the moment a specific offer is extended, which yields the key design distinction: educational and advisory content is lower-risk, while a specific offer triggers jurisdiction-specific disclosure and language rules. This is the rationale for the first-class compliance block in Section 5.6. Separately, Morgan Cash should obtain a legal determination on broker-registration obligations in the states where it operates, and confirm the consent basis for automated SMS under applicable telemarketing rules. These are matters for counsel; this framework assumes a compliance gate exists rather than bolting one on later.</w:t>
      </w:r>
    </w:p>
    <w:p>
      <w:pPr>
        <w:pStyle w:val="Heading2"/>
      </w:pPr>
      <w:r>
        <w:t xml:space="preserve">11.6 Summary of amendments</w:t>
      </w:r>
    </w:p>
    <w:p>
      <w:pPr>
        <w:pStyle w:val="ListParagraph"/>
        <w:numPr>
          <w:ilvl w:val="0"/>
          <w:numId w:val="10"/>
        </w:numPr>
        <w:spacing w:after="90" w:line="264"/>
      </w:pPr>
      <w:r>
        <w:rPr>
          <w:b/>
          <w:bCs/>
        </w:rPr>
        <w:t xml:space="preserve">New first-class compliance / disclosure block </w:t>
      </w:r>
      <w:r>
        <w:t xml:space="preserve">(Section 5.6).</w:t>
      </w:r>
    </w:p>
    <w:p>
      <w:pPr>
        <w:pStyle w:val="ListParagraph"/>
        <w:numPr>
          <w:ilvl w:val="0"/>
          <w:numId w:val="10"/>
        </w:numPr>
        <w:spacing w:after="90" w:line="264"/>
      </w:pPr>
      <w:r>
        <w:rPr>
          <w:b/>
          <w:bCs/>
        </w:rPr>
        <w:t xml:space="preserve">New Phase-2 precondition: </w:t>
      </w:r>
      <w:r>
        <w:t xml:space="preserve">verify data-ownership and renewal rights in ISO agreements.</w:t>
      </w:r>
    </w:p>
    <w:p>
      <w:pPr>
        <w:pStyle w:val="ListParagraph"/>
        <w:numPr>
          <w:ilvl w:val="0"/>
          <w:numId w:val="10"/>
        </w:numPr>
        <w:spacing w:after="90" w:line="264"/>
      </w:pPr>
      <w:r>
        <w:rPr>
          <w:b/>
          <w:bCs/>
        </w:rPr>
        <w:t xml:space="preserve">Prediction path concretized: </w:t>
      </w:r>
      <w:r>
        <w:t xml:space="preserve">RFM → BG/NBD + Gamma-Gamma → Cox hazards → multi-state transition model.</w:t>
      </w:r>
    </w:p>
    <w:p>
      <w:pPr>
        <w:pStyle w:val="ListParagraph"/>
        <w:numPr>
          <w:ilvl w:val="0"/>
          <w:numId w:val="10"/>
        </w:numPr>
        <w:spacing w:after="90" w:line="264"/>
      </w:pPr>
      <w:r>
        <w:rPr>
          <w:b/>
          <w:bCs/>
        </w:rPr>
        <w:t xml:space="preserve">Tech components named: </w:t>
      </w:r>
      <w:r>
        <w:t xml:space="preserve">Lakeflow Connect, Feature Store, Lakebase, Model Serving + inference tables, reverse ETL.</w:t>
      </w:r>
    </w:p>
    <w:p>
      <w:pPr>
        <w:pStyle w:val="ListParagraph"/>
        <w:numPr>
          <w:ilvl w:val="0"/>
          <w:numId w:val="10"/>
        </w:numPr>
        <w:spacing w:after="90" w:line="264"/>
      </w:pPr>
      <w:r>
        <w:rPr>
          <w:b/>
          <w:bCs/>
        </w:rPr>
        <w:t xml:space="preserve">Rung 3 nudge corrected: </w:t>
      </w:r>
      <w:r>
        <w:t xml:space="preserve">value-first, price-last (no discount-led retention).</w:t>
      </w:r>
    </w:p>
    <w:p>
      <w:pPr>
        <w:pStyle w:val="ListParagraph"/>
        <w:numPr>
          <w:ilvl w:val="0"/>
          <w:numId w:val="10"/>
        </w:numPr>
        <w:spacing w:after="90" w:line="264"/>
      </w:pPr>
      <w:r>
        <w:rPr>
          <w:b/>
          <w:bCs/>
        </w:rPr>
        <w:t xml:space="preserve">Daily queue operationalized: </w:t>
      </w:r>
      <w:r>
        <w:t xml:space="preserve">named plays, each with owner and SLA.</w:t>
      </w:r>
    </w:p>
    <w:p>
      <w:pPr>
        <w:pStyle w:val="ListParagraph"/>
        <w:numPr>
          <w:ilvl w:val="0"/>
          <w:numId w:val="10"/>
        </w:numPr>
        <w:spacing w:after="90" w:line="264"/>
      </w:pPr>
      <w:r>
        <w:rPr>
          <w:b/>
          <w:bCs/>
        </w:rPr>
        <w:t xml:space="preserve">Compensation tied </w:t>
      </w:r>
      <w:r>
        <w:t xml:space="preserve">to data completeness and rung-transitions.</w:t>
      </w:r>
    </w:p>
    <w:p>
      <w:pPr>
        <w:pStyle w:val="ListParagraph"/>
        <w:numPr>
          <w:ilvl w:val="0"/>
          <w:numId w:val="10"/>
        </w:numPr>
        <w:spacing w:after="90" w:line="264"/>
      </w:pPr>
      <w:r>
        <w:rPr>
          <w:b/>
          <w:bCs/>
        </w:rPr>
        <w:t xml:space="preserve">Distressed-rung exit channel: </w:t>
      </w:r>
      <w:r>
        <w:t xml:space="preserve">restructuring / debt-relief referral.</w:t>
      </w:r>
    </w:p>
    <w:p>
      <w:pPr>
        <w:pStyle w:val="Heading2"/>
      </w:pPr>
      <w:r>
        <w:t xml:space="preserve">11.7 Sources consulted</w:t>
      </w:r>
    </w:p>
    <w:p>
      <w:pPr>
        <w:spacing w:after="160" w:line="276"/>
      </w:pPr>
      <w:r>
        <w:t xml:space="preserve">MCA mechanics and economics: FunderIntel (glossary); DailyFunder (renewal mechanics); Next-Financing (double-dipping); industry ISO guidance citing National Business Capital. Regulatory: Venable LLP and Buchalter (California SB 362; Texas HB 700); McGlinchey Stafford and Onyx IQ (state survey, Virginia, Missouri); American Bar Association state survey; New York DFS / CFDL summaries. Financial modeling: peer-reviewed and applied work on BG/NBD and Pareto/NBD (Fader et al.), Gamma-Gamma, Kaplan-Meier and Cox proportional hazards, and multi-state attrition (Blattberg et al.), via Springer Journal of Marketing Analytics and practitioner implementations. Sales / retention: SAP, Bedrock Financial, OroCommerce, Agility PR, Outreach. Data / technology: Databricks (Lakeflow Connect, Feature Store, Lakebase, Model Serving / inference tables) and data-activation practitioners. Citations are paraphrased; figures and legal specifics should be verified against the primary sources and with counsel.</w:t>
      </w:r>
    </w:p>
    <w:p>
      <w:pPr>
        <w:pBdr>
          <w:bottom w:val="single" w:color="B8860B" w:sz="6" w:space="1"/>
        </w:pBdr>
        <w:spacing w:after="160" w:before="80"/>
      </w:pPr>
    </w:p>
    <w:p>
      <w:pPr>
        <w:pStyle w:val="Heading1"/>
      </w:pPr>
      <w:r>
        <w:t xml:space="preserve">12. Existing Solutions &amp; Open-Source Landscape</w:t>
      </w:r>
    </w:p>
    <w:p>
      <w:pPr>
        <w:spacing w:after="160" w:line="276"/>
      </w:pPr>
      <w:r>
        <w:t xml:space="preserve">A competitive and open-source scan was run to determine whether the framework already exists and what can be reused rather than rebuilt. The conclusion: no product occupies the framework’s exact position, but nearly every layer beneath the differentiating one can be bought or adopted. Engineering effort should concentrate on the intelligence and advisory layer alone.</w:t>
      </w:r>
    </w:p>
    <w:p>
      <w:pPr>
        <w:pStyle w:val="Heading2"/>
      </w:pPr>
      <w:r>
        <w:t xml:space="preserve">12.1 The competitive landscape — two markets, and the gap between them</w:t>
      </w:r>
    </w:p>
    <w:p>
      <w:pPr>
        <w:spacing w:after="160" w:line="276"/>
      </w:pPr>
      <w:r>
        <w:t xml:space="preserve">Operational MCA platforms (for example Cloudsquare, LendSaaS, Centrex, timveroOS) own the back office and market “renewal intelligence,” but only from the funder and operations side: monitoring repayment to flag who is eligible — the deterministic eligibility clock, plus compliance and portals. None implements the behavioral-archetype ladder, prediction of when a merchant goes in-market from any source, honest “don’t take money” advisory, or a develop-them-up-the-ladder program. Notably, Cloudsquare is built natively on Salesforce, which matters because the funded book already lives there.</w:t>
      </w:r>
    </w:p>
    <w:p>
      <w:pPr>
        <w:spacing w:after="160" w:line="276"/>
      </w:pPr>
      <w:r>
        <w:t xml:space="preserve">Separately, a merchant-facing financial-advisory market exists but independent of any single ISO: platforms such as Nav (financial-health transparency, what a business qualifies for before applying, how to re-qualify) and OnDeck (in-house human loan advisors), and marketplaces such as Fundera. These prove the merchant-advisor concept is viable and funded, but Nav routes merchants anywhere, OnDeck is a direct lender, and none is a single ISO’s retention engine on its own book.</w:t>
      </w:r>
    </w:p>
    <w:p>
      <w:pPr>
        <w:spacing w:after="160" w:line="276"/>
      </w:pPr>
      <w:r>
        <w:rPr>
          <w:b/>
          <w:bCs/>
          <w:color w:val="0F5132"/>
        </w:rPr>
        <w:t xml:space="preserve">The white space: </w:t>
      </w:r>
      <w:r>
        <w:t xml:space="preserve">the framework is the intersection neither market occupies — the operational book of one ISO, plus Nav-style honest financial-health advisory, plus a behavioral development program, delivered as a retention engine. The differentiation is the advisory-intelligence layer on top, not the CRM and not the eligibility clock, both of which are commodities.</w:t>
      </w:r>
    </w:p>
    <w:p>
      <w:pPr>
        <w:pStyle w:val="Heading2"/>
      </w:pPr>
      <w:r>
        <w:t xml:space="preserve">12.2 The strategic conclusion — buy the rails, build the intelligence</w:t>
      </w:r>
    </w:p>
    <w:p>
      <w:pPr>
        <w:spacing w:after="160" w:line="276"/>
      </w:pPr>
      <w:r>
        <w:t xml:space="preserve">Rebuilding deal management, submissions, eSign, ACH, portals, and disclosure generation would reinvent a commodity that existing platforms already sell — and a Salesforce-native option may slot directly beneath the existing data. Engineering effort should concentrate entirely on the rung engine, the prediction, and the honest advisory comms — the part nobody sells. One caution: if integrating a third-party operational platform, re-confirm that routing funded-book data through it does not compromise the data-ownership and renewal rights the intelligence layer depends on (Section 11.1).</w:t>
      </w:r>
    </w:p>
    <w:p>
      <w:pPr>
        <w:pStyle w:val="Heading2"/>
      </w:pPr>
      <w:r>
        <w:t xml:space="preserve">12.3 Open-source components to adopt or reference</w:t>
      </w:r>
    </w:p>
    <w:p>
      <w:pPr>
        <w:spacing w:after="160" w:line="276"/>
      </w:pPr>
      <w:r>
        <w:t xml:space="preserve">The hardest technical layer — prediction — has mature, maintained open-source homes, so models are adopted rather than built from scratch.</w:t>
      </w:r>
    </w:p>
    <w:p>
      <w:pPr>
        <w:pStyle w:val="ListParagraph"/>
        <w:numPr>
          <w:ilvl w:val="0"/>
          <w:numId w:val="2"/>
        </w:numPr>
        <w:spacing w:after="90" w:line="264"/>
      </w:pPr>
      <w:r>
        <w:rPr>
          <w:b/>
          <w:bCs/>
        </w:rPr>
        <w:t xml:space="preserve">PyMC-Marketing — </w:t>
      </w:r>
      <w:r>
        <w:t xml:space="preserve">the maintained successor to the archived lifetimes library; implements BG/NBD, Pareto/NBD, Gamma-Gamma, RFM, and a CLV utility with NPV discounting. Its Bayesian basis yields uncertainty around each prediction — valuable when output drives advice in a regulated context.</w:t>
      </w:r>
    </w:p>
    <w:p>
      <w:pPr>
        <w:pStyle w:val="ListParagraph"/>
        <w:numPr>
          <w:ilvl w:val="0"/>
          <w:numId w:val="2"/>
        </w:numPr>
        <w:spacing w:after="90" w:line="264"/>
      </w:pPr>
      <w:r>
        <w:rPr>
          <w:b/>
          <w:bCs/>
        </w:rPr>
        <w:t xml:space="preserve">lifelines — </w:t>
      </w:r>
      <w:r>
        <w:t xml:space="preserve">the standard Python library for Kaplan-Meier and Cox proportional hazards (the time-to-event half, with correct handling of censoring). scikit-survival is an option for ML-based survival later.</w:t>
      </w:r>
    </w:p>
    <w:p>
      <w:pPr>
        <w:pStyle w:val="ListParagraph"/>
        <w:numPr>
          <w:ilvl w:val="0"/>
          <w:numId w:val="2"/>
        </w:numPr>
        <w:spacing w:after="90" w:line="264"/>
      </w:pPr>
      <w:r>
        <w:rPr>
          <w:b/>
          <w:bCs/>
        </w:rPr>
        <w:t xml:space="preserve">Feast — </w:t>
      </w:r>
      <w:r>
        <w:t xml:space="preserve">the open-source feature store with point-in-time-correct feature sets (the exact gold-table grain). Recommendation: use the native Databricks Feature Store on the existing stack, and treat Feast as the reference design and portability escape-hatch.</w:t>
      </w:r>
    </w:p>
    <w:p>
      <w:pPr>
        <w:spacing w:after="160" w:line="276"/>
      </w:pPr>
      <w:r>
        <w:t xml:space="preserve">No open-source framework was found for the activation/orchestration, the rung ladder, or the advisory layer — because that is novel IP, not a solved commodity. These are built on Databricks Workflows and as bespoke logic.</w:t>
      </w:r>
    </w:p>
    <w:p>
      <w:pPr>
        <w:pStyle w:val="Heading2"/>
      </w:pPr>
      <w:r>
        <w:t xml:space="preserve">12.4 Consolidated build / buy / adopt map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060"/>
      </w:tblGrid>
      <w:tr>
        <w:trPr>
          <w:tblHeader/>
        </w:trPr>
        <w:tc>
          <w:tcPr>
            <w:tcW w:type="dxa" w:w="3400"/>
            <w:tcBorders>
              <w:top w:val="single" w:color="CCCCCC" w:sz="1"/>
              <w:left w:val="single" w:color="CCCCCC" w:sz="1"/>
              <w:bottom w:val="single" w:color="CCCCCC" w:sz="1"/>
              <w:right w:val="single" w:color="CCCCCC" w:sz="1"/>
            </w:tcBorders>
            <w:shd w:fill="0F5132" w:val="clear"/>
            <w:tcMar>
              <w:top w:type="dxa" w:w="90"/>
              <w:left w:type="dxa" w:w="120"/>
              <w:bottom w:type="dxa" w:w="90"/>
              <w:right w:type="dxa" w:w="120"/>
            </w:tcMar>
            <w:vAlign w:val="center"/>
          </w:tcPr>
          <w:p>
            <w:r>
              <w:rPr>
                <w:b/>
                <w:bCs/>
                <w:color w:val="FFFFFF"/>
                <w:sz w:val="20"/>
                <w:szCs w:val="20"/>
              </w:rPr>
              <w:t xml:space="preserve">Layer</w:t>
            </w:r>
          </w:p>
        </w:tc>
        <w:tc>
          <w:tcPr>
            <w:tcW w:type="dxa" w:w="1900"/>
            <w:tcBorders>
              <w:top w:val="single" w:color="CCCCCC" w:sz="1"/>
              <w:left w:val="single" w:color="CCCCCC" w:sz="1"/>
              <w:bottom w:val="single" w:color="CCCCCC" w:sz="1"/>
              <w:right w:val="single" w:color="CCCCCC" w:sz="1"/>
            </w:tcBorders>
            <w:shd w:fill="0F5132" w:val="clear"/>
            <w:tcMar>
              <w:top w:type="dxa" w:w="90"/>
              <w:left w:type="dxa" w:w="120"/>
              <w:bottom w:type="dxa" w:w="90"/>
              <w:right w:type="dxa" w:w="120"/>
            </w:tcMar>
            <w:vAlign w:val="center"/>
          </w:tcPr>
          <w:p>
            <w:r>
              <w:rPr>
                <w:b/>
                <w:bCs/>
                <w:color w:val="FFFFFF"/>
                <w:sz w:val="20"/>
                <w:szCs w:val="20"/>
              </w:rPr>
              <w:t xml:space="preserve">Source</w:t>
            </w:r>
          </w:p>
        </w:tc>
        <w:tc>
          <w:tcPr>
            <w:tcW w:type="dxa" w:w="4060"/>
            <w:tcBorders>
              <w:top w:val="single" w:color="CCCCCC" w:sz="1"/>
              <w:left w:val="single" w:color="CCCCCC" w:sz="1"/>
              <w:bottom w:val="single" w:color="CCCCCC" w:sz="1"/>
              <w:right w:val="single" w:color="CCCCCC" w:sz="1"/>
            </w:tcBorders>
            <w:shd w:fill="0F5132" w:val="clear"/>
            <w:tcMar>
              <w:top w:type="dxa" w:w="90"/>
              <w:left w:type="dxa" w:w="120"/>
              <w:bottom w:type="dxa" w:w="90"/>
              <w:right w:type="dxa" w:w="120"/>
            </w:tcMar>
            <w:vAlign w:val="center"/>
          </w:tcPr>
          <w:p>
            <w:r>
              <w:rPr>
                <w:b/>
                <w:bCs/>
                <w:color w:val="FFFFFF"/>
                <w:sz w:val="20"/>
                <w:szCs w:val="20"/>
              </w:rPr>
              <w:t xml:space="preserve">Specifics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Operational CRM, submissions, eSign, ACH, portals, disclosure generation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Buy / integrate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Cloudsquare (Salesforce-native), LendSaaS, Centrex</w:t>
            </w:r>
          </w:p>
        </w:tc>
      </w:tr>
      <w:tr>
        <w:tc>
          <w:tcPr>
            <w:tcW w:type="dxa" w:w="34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bCs/>
                <w:color w:val="1A1A1A"/>
                <w:sz w:val="19"/>
                <w:szCs w:val="19"/>
              </w:rPr>
              <w:t xml:space="preserve">Renewal eligibility clock</w:t>
            </w:r>
          </w:p>
        </w:tc>
        <w:tc>
          <w:tcPr>
            <w:tcW w:type="dxa" w:w="19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Commodity</w:t>
            </w:r>
          </w:p>
        </w:tc>
        <w:tc>
          <w:tcPr>
            <w:tcW w:type="dxa" w:w="406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In those tools; trivial to compute internally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Ingestion (Salesforce → lake)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Adopt native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Lakeflow Connect</w:t>
            </w:r>
          </w:p>
        </w:tc>
      </w:tr>
      <w:tr>
        <w:tc>
          <w:tcPr>
            <w:tcW w:type="dxa" w:w="34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bCs/>
                <w:color w:val="1A1A1A"/>
                <w:sz w:val="19"/>
                <w:szCs w:val="19"/>
              </w:rPr>
              <w:t xml:space="preserve">Feature store / gold table</w:t>
            </w:r>
          </w:p>
        </w:tc>
        <w:tc>
          <w:tcPr>
            <w:tcW w:type="dxa" w:w="19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Adopt</w:t>
            </w:r>
          </w:p>
        </w:tc>
        <w:tc>
          <w:tcPr>
            <w:tcW w:type="dxa" w:w="406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Databricks Feature Store (Feast as reference)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Prediction (CLV, BTYD, churn, survival)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Adopt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PyMC-Marketing + lifelines</w:t>
            </w:r>
          </w:p>
        </w:tc>
      </w:tr>
      <w:tr>
        <w:tc>
          <w:tcPr>
            <w:tcW w:type="dxa" w:w="34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bCs/>
                <w:color w:val="1A1A1A"/>
                <w:sz w:val="19"/>
                <w:szCs w:val="19"/>
              </w:rPr>
              <w:t xml:space="preserve">RFM features</w:t>
            </w:r>
          </w:p>
        </w:tc>
        <w:tc>
          <w:tcPr>
            <w:tcW w:type="dxa" w:w="19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Adopt</w:t>
            </w:r>
          </w:p>
        </w:tc>
        <w:tc>
          <w:tcPr>
            <w:tcW w:type="dxa" w:w="406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Included in PyMC-Marketing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Offer Engine (profile × funder criteria → options)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Reuse (existing)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Morgan Cash funder-criteria dataset + routing engine, run proactively against the book</w:t>
            </w:r>
          </w:p>
        </w:tc>
      </w:tr>
      <w:tr>
        <w:tc>
          <w:tcPr>
            <w:tcW w:type="dxa" w:w="34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bCs/>
                <w:color w:val="1A1A1A"/>
                <w:sz w:val="19"/>
                <w:szCs w:val="19"/>
              </w:rPr>
              <w:t xml:space="preserve">Rung engine, ladder, advisory comms, merchant app, orchestration</w:t>
            </w:r>
          </w:p>
        </w:tc>
        <w:tc>
          <w:tcPr>
            <w:tcW w:type="dxa" w:w="19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Build</w:t>
            </w:r>
          </w:p>
        </w:tc>
        <w:tc>
          <w:tcPr>
            <w:tcW w:type="dxa" w:w="406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The differentiating IP — nothing off-the-shelf</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Portfolio Analytics / Book Health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Build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Read-only aggregation over the gold table + transition history; the scoreboard</w:t>
            </w:r>
          </w:p>
        </w:tc>
      </w:tr>
      <w:tr>
        <w:tc>
          <w:tcPr>
            <w:tcW w:type="dxa" w:w="34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bCs/>
                <w:color w:val="1A1A1A"/>
                <w:sz w:val="19"/>
                <w:szCs w:val="19"/>
              </w:rPr>
              <w:t xml:space="preserve">Agentic layer (Composer, Statement Analyst, Structure Advisor, Data Steward)</w:t>
            </w:r>
          </w:p>
        </w:tc>
        <w:tc>
          <w:tcPr>
            <w:tcW w:type="dxa" w:w="190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Build</w:t>
            </w:r>
          </w:p>
        </w:tc>
        <w:tc>
          <w:tcPr>
            <w:tcW w:type="dxa" w:w="4060"/>
            <w:tcBorders>
              <w:top w:val="single" w:color="CCCCCC" w:sz="1"/>
              <w:left w:val="single" w:color="CCCCCC" w:sz="1"/>
              <w:bottom w:val="single" w:color="CCCCCC" w:sz="1"/>
              <w:right w:val="single" w:color="CCCCCC" w:sz="1"/>
            </w:tcBorders>
            <w:shd w:fill="E3EFE9" w:val="clear"/>
            <w:tcMar>
              <w:top w:type="dxa" w:w="80"/>
              <w:left w:type="dxa" w:w="120"/>
              <w:bottom w:type="dxa" w:w="80"/>
              <w:right w:type="dxa" w:w="120"/>
            </w:tcMar>
            <w:vAlign w:val="top"/>
          </w:tcPr>
          <w:p>
            <w:r>
              <w:rPr>
                <w:b w:val="false"/>
                <w:bCs w:val="false"/>
                <w:color w:val="1A1A1A"/>
                <w:sz w:val="19"/>
                <w:szCs w:val="19"/>
              </w:rPr>
              <w:t xml:space="preserve">AI agents that articulate / extract / orchestrate, calling deterministic tools; later sprints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bCs/>
                <w:color w:val="1A1A1A"/>
                <w:sz w:val="19"/>
                <w:szCs w:val="19"/>
              </w:rPr>
              <w:t xml:space="preserve">Compliance / disclosure gating (advice-vs-offer, state rules)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Build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color w:val="1A1A1A"/>
                <w:sz w:val="19"/>
                <w:szCs w:val="19"/>
              </w:rPr>
              <w:t xml:space="preserve">Gating logic custom; templates can lean on the operational platform</w:t>
            </w:r>
          </w:p>
        </w:tc>
      </w:tr>
    </w:tbl>
    <w:p>
      <w:pPr>
        <w:spacing w:after="60"/>
      </w:pPr>
    </w:p>
    <w:p>
      <w:pPr>
        <w:spacing w:after="160" w:line="276"/>
      </w:pPr>
      <w:r>
        <w:rPr>
          <w:b/>
          <w:bCs/>
        </w:rPr>
        <w:t xml:space="preserve">The headline: </w:t>
      </w:r>
      <w:r>
        <w:t xml:space="preserve">of the eight layers, only the three that constitute the differentiation are built — and the hardest of those (prediction) is adopted, not built. This concentrates effort on the IP, de-risks the program, and is the strongest validation yet of the modular architecture: every buy-and-adopt piece plugs into a socket the design already defined.</w:t>
      </w:r>
    </w:p>
    <w:p>
      <w:pPr>
        <w:pBdr>
          <w:bottom w:val="single" w:color="B8860B" w:sz="6" w:space="1"/>
        </w:pBdr>
        <w:spacing w:after="160" w:before="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tabs>
        <w:tab w:val="right" w:pos="9360"/>
      </w:tabs>
      <w:spacing w:before="0"/>
    </w:pPr>
    <w:r>
      <w:rPr>
        <w:color w:val="555555"/>
        <w:sz w:val="16"/>
        <w:szCs w:val="16"/>
      </w:rPr>
      <w:t xml:space="preserve">Phase 0 · v1.0 · Confidential</w:t>
    </w:r>
    <w:r>
      <w:rPr>
        <w:color w:val="555555"/>
        <w:sz w:val="16"/>
        <w:szCs w:val="16"/>
      </w:rPr>
      <w:t xml:space="preserve">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360"/>
      </w:tabs>
      <w:spacing w:after="0"/>
    </w:pPr>
    <w:r>
      <w:rPr>
        <w:b/>
        <w:bCs/>
        <w:color w:val="B8860B"/>
        <w:spacing w:val="40"/>
        <w:sz w:val="16"/>
        <w:szCs w:val="16"/>
      </w:rPr>
      <w:t xml:space="preserve">MORGAN CASH</w:t>
    </w:r>
    <w:r>
      <w:rPr>
        <w:color w:val="555555"/>
        <w:sz w:val="16"/>
        <w:szCs w:val="16"/>
      </w:rPr>
      <w:t xml:space="preserve">	Merchant Retention &amp; Advisory Intelligence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8860B"/>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4"/>
    <w:lvlOverride w:ilvl="0">
      <w:startOverride w:val="1"/>
    </w:lvlOverride>
  </w:num>
  <w:num w:numId="1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5132" w:sz="4" w:space="4"/>
      </w:pBdr>
      <w:spacing w:after="160" w:before="320"/>
      <w:outlineLvl w:val="0"/>
    </w:pPr>
    <w:rPr>
      <w:rFonts w:ascii="Arial" w:cs="Arial" w:eastAsia="Arial" w:hAnsi="Arial"/>
      <w:b/>
      <w:bCs/>
      <w:color w:val="0F5132"/>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B6E5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Merchant Retention &amp; Advisory Intelligence Framework</dc:title>
  <dc:creator>Morgan Cash</dc:creator>
  <cp:lastModifiedBy>Un-named</cp:lastModifiedBy>
  <cp:revision>1</cp:revision>
  <dcterms:created xsi:type="dcterms:W3CDTF">2026-05-31T06:19:50.093Z</dcterms:created>
  <dcterms:modified xsi:type="dcterms:W3CDTF">2026-05-31T06:19:50.106Z</dcterms:modified>
</cp:coreProperties>
</file>

<file path=docProps/custom.xml><?xml version="1.0" encoding="utf-8"?>
<Properties xmlns="http://schemas.openxmlformats.org/officeDocument/2006/custom-properties" xmlns:vt="http://schemas.openxmlformats.org/officeDocument/2006/docPropsVTypes"/>
</file>