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2C77"/>
        </w:rPr>
        <w:t>Variance Analysis Report</w:t>
      </w:r>
    </w:p>
    <w:p>
      <w:r>
        <w:t>2026-05 | MTD vs BUDGET</w:t>
      </w:r>
    </w:p>
    <w:p>
      <w:pPr>
        <w:pStyle w:val="Heading1"/>
      </w:pPr>
      <w:r>
        <w:rPr>
          <w:color w:val="002C77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Comparator</w:t>
            </w:r>
          </w:p>
        </w:tc>
        <w:tc>
          <w:tcPr>
            <w:tcW w:type="dxa" w:w="1728"/>
          </w:tcPr>
          <w:p>
            <w:r>
              <w:t>Variance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Total Revenue</w:t>
            </w:r>
          </w:p>
        </w:tc>
        <w:tc>
          <w:tcPr>
            <w:tcW w:type="dxa" w:w="1728"/>
          </w:tcPr>
          <w:p>
            <w:r>
              <w:t>$965,915</w:t>
            </w:r>
          </w:p>
        </w:tc>
        <w:tc>
          <w:tcPr>
            <w:tcW w:type="dxa" w:w="1728"/>
          </w:tcPr>
          <w:p>
            <w:r>
              <w:t>$989,186</w:t>
            </w:r>
          </w:p>
        </w:tc>
        <w:tc>
          <w:tcPr>
            <w:tcW w:type="dxa" w:w="1728"/>
          </w:tcPr>
          <w:p>
            <w:r>
              <w:t>$-23,271</w:t>
            </w:r>
          </w:p>
        </w:tc>
        <w:tc>
          <w:tcPr>
            <w:tcW w:type="dxa" w:w="1728"/>
          </w:tcPr>
          <w:p>
            <w:r>
              <w:t>-2.4%</w:t>
            </w:r>
          </w:p>
        </w:tc>
      </w:tr>
      <w:tr>
        <w:tc>
          <w:tcPr>
            <w:tcW w:type="dxa" w:w="1728"/>
          </w:tcPr>
          <w:p>
            <w:r>
              <w:t>Total COGS</w:t>
            </w:r>
          </w:p>
        </w:tc>
        <w:tc>
          <w:tcPr>
            <w:tcW w:type="dxa" w:w="1728"/>
          </w:tcPr>
          <w:p>
            <w:r>
              <w:t>$384,075</w:t>
            </w:r>
          </w:p>
        </w:tc>
        <w:tc>
          <w:tcPr>
            <w:tcW w:type="dxa" w:w="1728"/>
          </w:tcPr>
          <w:p>
            <w:r>
              <w:t>$384,836</w:t>
            </w:r>
          </w:p>
        </w:tc>
        <w:tc>
          <w:tcPr>
            <w:tcW w:type="dxa" w:w="1728"/>
          </w:tcPr>
          <w:p>
            <w:r>
              <w:t>$-761</w:t>
            </w:r>
          </w:p>
        </w:tc>
        <w:tc>
          <w:tcPr>
            <w:tcW w:type="dxa" w:w="1728"/>
          </w:tcPr>
          <w:p>
            <w:r>
              <w:t>-0.2%</w:t>
            </w:r>
          </w:p>
        </w:tc>
      </w:tr>
      <w:tr>
        <w:tc>
          <w:tcPr>
            <w:tcW w:type="dxa" w:w="1728"/>
          </w:tcPr>
          <w:p>
            <w:r>
              <w:t>Gross Profit</w:t>
            </w:r>
          </w:p>
        </w:tc>
        <w:tc>
          <w:tcPr>
            <w:tcW w:type="dxa" w:w="1728"/>
          </w:tcPr>
          <w:p>
            <w:r>
              <w:t>$581,840</w:t>
            </w:r>
          </w:p>
        </w:tc>
        <w:tc>
          <w:tcPr>
            <w:tcW w:type="dxa" w:w="1728"/>
          </w:tcPr>
          <w:p>
            <w:r>
              <w:t>$604,350</w:t>
            </w:r>
          </w:p>
        </w:tc>
        <w:tc>
          <w:tcPr>
            <w:tcW w:type="dxa" w:w="1728"/>
          </w:tcPr>
          <w:p>
            <w:r>
              <w:t>$-22,510</w:t>
            </w:r>
          </w:p>
        </w:tc>
        <w:tc>
          <w:tcPr>
            <w:tcW w:type="dxa" w:w="1728"/>
          </w:tcPr>
          <w:p>
            <w:r>
              <w:t>-3.7%</w:t>
            </w:r>
          </w:p>
        </w:tc>
      </w:tr>
      <w:tr>
        <w:tc>
          <w:tcPr>
            <w:tcW w:type="dxa" w:w="1728"/>
          </w:tcPr>
          <w:p>
            <w:r>
              <w:t>Total OpEx</w:t>
            </w:r>
          </w:p>
        </w:tc>
        <w:tc>
          <w:tcPr>
            <w:tcW w:type="dxa" w:w="1728"/>
          </w:tcPr>
          <w:p>
            <w:r>
              <w:t>$418,260</w:t>
            </w:r>
          </w:p>
        </w:tc>
        <w:tc>
          <w:tcPr>
            <w:tcW w:type="dxa" w:w="1728"/>
          </w:tcPr>
          <w:p>
            <w:r>
              <w:t>$413,222</w:t>
            </w:r>
          </w:p>
        </w:tc>
        <w:tc>
          <w:tcPr>
            <w:tcW w:type="dxa" w:w="1728"/>
          </w:tcPr>
          <w:p>
            <w:r>
              <w:t>$5,038</w:t>
            </w:r>
          </w:p>
        </w:tc>
        <w:tc>
          <w:tcPr>
            <w:tcW w:type="dxa" w:w="1728"/>
          </w:tcPr>
          <w:p>
            <w:r>
              <w:t>1.2%</w:t>
            </w:r>
          </w:p>
        </w:tc>
      </w:tr>
      <w:tr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$192,646</w:t>
            </w:r>
          </w:p>
        </w:tc>
        <w:tc>
          <w:tcPr>
            <w:tcW w:type="dxa" w:w="1728"/>
          </w:tcPr>
          <w:p>
            <w:r>
              <w:t>$220,107</w:t>
            </w:r>
          </w:p>
        </w:tc>
        <w:tc>
          <w:tcPr>
            <w:tcW w:type="dxa" w:w="1728"/>
          </w:tcPr>
          <w:p>
            <w:r>
              <w:t>$-27,461</w:t>
            </w:r>
          </w:p>
        </w:tc>
        <w:tc>
          <w:tcPr>
            <w:tcW w:type="dxa" w:w="1728"/>
          </w:tcPr>
          <w:p>
            <w:r>
              <w:t>-12.5%</w:t>
            </w:r>
          </w:p>
        </w:tc>
      </w:tr>
      <w:tr>
        <w:tc>
          <w:tcPr>
            <w:tcW w:type="dxa" w:w="1728"/>
          </w:tcPr>
          <w:p>
            <w:r>
              <w:t>Operating Income</w:t>
            </w:r>
          </w:p>
        </w:tc>
        <w:tc>
          <w:tcPr>
            <w:tcW w:type="dxa" w:w="1728"/>
          </w:tcPr>
          <w:p>
            <w:r>
              <w:t>$163,580</w:t>
            </w:r>
          </w:p>
        </w:tc>
        <w:tc>
          <w:tcPr>
            <w:tcW w:type="dxa" w:w="1728"/>
          </w:tcPr>
          <w:p>
            <w:r>
              <w:t>$191,127</w:t>
            </w:r>
          </w:p>
        </w:tc>
        <w:tc>
          <w:tcPr>
            <w:tcW w:type="dxa" w:w="1728"/>
          </w:tcPr>
          <w:p>
            <w:r>
              <w:t>$-27,547</w:t>
            </w:r>
          </w:p>
        </w:tc>
        <w:tc>
          <w:tcPr>
            <w:tcW w:type="dxa" w:w="1728"/>
          </w:tcPr>
          <w:p>
            <w:r>
              <w:t>-14.4%</w:t>
            </w:r>
          </w:p>
        </w:tc>
      </w:tr>
      <w:tr>
        <w:tc>
          <w:tcPr>
            <w:tcW w:type="dxa" w:w="1728"/>
          </w:tcPr>
          <w:p>
            <w:r>
              <w:t>Net Income</w:t>
            </w:r>
          </w:p>
        </w:tc>
        <w:tc>
          <w:tcPr>
            <w:tcW w:type="dxa" w:w="1728"/>
          </w:tcPr>
          <w:p>
            <w:r>
              <w:t>$150,609</w:t>
            </w:r>
          </w:p>
        </w:tc>
        <w:tc>
          <w:tcPr>
            <w:tcW w:type="dxa" w:w="1728"/>
          </w:tcPr>
          <w:p>
            <w:r>
              <w:t>$177,929</w:t>
            </w:r>
          </w:p>
        </w:tc>
        <w:tc>
          <w:tcPr>
            <w:tcW w:type="dxa" w:w="1728"/>
          </w:tcPr>
          <w:p>
            <w:r>
              <w:t>$-27,320</w:t>
            </w:r>
          </w:p>
        </w:tc>
        <w:tc>
          <w:tcPr>
            <w:tcW w:type="dxa" w:w="1728"/>
          </w:tcPr>
          <w:p>
            <w:r>
              <w:t>-15.3%</w:t>
            </w:r>
          </w:p>
        </w:tc>
      </w:tr>
    </w:tbl>
    <w:p>
      <w:pPr>
        <w:pStyle w:val="Heading1"/>
      </w:pPr>
      <w:r>
        <w:rPr>
          <w:color w:val="002C77"/>
        </w:rPr>
        <w:t>Executive Summary</w:t>
      </w:r>
    </w:p>
    <w:p>
      <w:r>
        <w:t>May 2026 financial performance vs Budget: Revenue decreased by $46,542 (-2.4%) vs Budget. Key drivers: Advisory &amp; Brokerage Fees (-25,372), Reinsurance Commissions (+9,818), Consulting Fees (-4,756). 1 of 6 lines contributed positively.</w:t>
      </w:r>
    </w:p>
    <w:p>
      <w:r>
        <w:t>Cost management: COGS decreased by $1,523 (-0.2%) vs Budget. Key drivers: Direct Compensation (-1,449), Subcontractor Costs (+850), Direct Technology Costs (-353). 2 of 4 lines contributed positively. OpEx increased by $10,075 (+1.2%) vs Budget. Key drivers: Technology &amp; Infrastructure (+3,337), Compensation &amp; Benefits (+2,015), Travel &amp; Entertainment (-399). 4 of 10 lines contributed positively. Gross Profit decreased by $22,510 (-3.7%), margin 60.2%. EBITDA decreased by $27,461 (-12.5%), margin 19.9%. Operating Income decreased by $27,547 (-14.4%), margin 16.9%.</w:t>
      </w:r>
    </w:p>
    <w:p>
      <w:r>
        <w:t>2 risk items identified. 9695 trending variances identified. 12 netting offsets detected.</w:t>
      </w:r>
    </w:p>
    <w:p>
      <w:pPr>
        <w:pStyle w:val="Heading1"/>
      </w:pPr>
      <w:r>
        <w:rPr>
          <w:color w:val="002C77"/>
        </w:rPr>
        <w:t>Section Analysis</w:t>
      </w:r>
    </w:p>
    <w:p>
      <w:r>
        <w:rPr>
          <w:b/>
        </w:rPr>
        <w:t xml:space="preserve">Revenue: </w:t>
      </w:r>
      <w:r>
        <w:t>Revenue decreased by $46,542 (-2.4%) vs Budget. Key drivers: Advisory &amp; Brokerage Fees (-25,372), Reinsurance Commissions (+9,818), Consulting Fees (-4,756). 1 of 6 lines contributed positively.</w:t>
      </w:r>
    </w:p>
    <w:p>
      <w:r>
        <w:rPr>
          <w:b/>
        </w:rPr>
        <w:t xml:space="preserve">COGS: </w:t>
      </w:r>
      <w:r>
        <w:t>COGS decreased by $1,523 (-0.2%) vs Budget. Key drivers: Direct Compensation (-1,449), Subcontractor Costs (+850), Direct Technology Costs (-353). 2 of 4 lines contributed positively.</w:t>
      </w:r>
    </w:p>
    <w:p>
      <w:r>
        <w:rPr>
          <w:b/>
        </w:rPr>
        <w:t xml:space="preserve">OpEx: </w:t>
      </w:r>
      <w:r>
        <w:t>OpEx increased by $10,075 (+1.2%) vs Budget. Key drivers: Technology &amp; Infrastructure (+3,337), Compensation &amp; Benefits (+2,015), Travel &amp; Entertainment (-399). 4 of 10 lines contributed positively.</w:t>
      </w:r>
    </w:p>
    <w:p>
      <w:r>
        <w:rPr>
          <w:b/>
        </w:rPr>
        <w:t xml:space="preserve">Non-Operating: </w:t>
      </w:r>
      <w:r>
        <w:t>Non-Operating increased by $267 (+0.6%) vs Budget. Key drivers: Interest Income (+104), Interest Expense (+53), Other Non-Operating (-23). 2 of 3 lines contributed positively.</w:t>
      </w:r>
    </w:p>
    <w:p>
      <w:r>
        <w:rPr>
          <w:b/>
        </w:rPr>
        <w:t xml:space="preserve">Profitability: </w:t>
      </w:r>
      <w:r>
        <w:t>Gross Profit decreased by $22,510 (-3.7%), margin 60.2%. EBITDA decreased by $27,461 (-12.5%), margin 19.9%. Operating Income decreased by $27,547 (-14.4%), margin 16.9%.</w:t>
      </w:r>
    </w:p>
    <w:p>
      <w:pPr>
        <w:pStyle w:val="Heading1"/>
      </w:pPr>
      <w:r>
        <w:rPr>
          <w:color w:val="002C77"/>
        </w:rPr>
        <w:t>Areas of Attention</w:t>
      </w:r>
    </w:p>
    <w:p>
      <w:r>
        <w:rPr>
          <w:b/>
        </w:rPr>
        <w:t xml:space="preserve">Advisory &amp; Brokerage Fees: </w:t>
      </w:r>
      <w:r>
        <w:t>$7K decreased</w:t>
      </w:r>
    </w:p>
    <w:p>
      <w:r>
        <w:rPr>
          <w:b/>
        </w:rPr>
        <w:t xml:space="preserve">Revenue: </w:t>
      </w:r>
      <w:r>
        <w:t>$7K decreased</w:t>
      </w:r>
    </w:p>
    <w:p>
      <w:r>
        <w:rPr>
          <w:b/>
        </w:rPr>
        <w:t xml:space="preserve">Advisory &amp; Brokerage Fees: </w:t>
      </w:r>
      <w:r>
        <w:t>$7K decreased</w:t>
      </w:r>
    </w:p>
    <w:p>
      <w:r>
        <w:rPr>
          <w:b/>
        </w:rPr>
        <w:t xml:space="preserve">Revenue: </w:t>
      </w:r>
      <w:r>
        <w:t>$6K decreased</w:t>
      </w:r>
    </w:p>
    <w:p>
      <w:r>
        <w:rPr>
          <w:b/>
        </w:rPr>
        <w:t xml:space="preserve">Revenue: </w:t>
      </w:r>
      <w:r>
        <w:t>$6K decreased</w:t>
      </w:r>
    </w:p>
    <w:p>
      <w:pPr>
        <w:pStyle w:val="Heading1"/>
      </w:pPr>
      <w:r>
        <w:rPr>
          <w:color w:val="002C77"/>
        </w:rPr>
        <w:t>Key Risks</w:t>
      </w:r>
    </w:p>
    <w:p>
      <w:r>
        <w:t>- 9695 trending variances identified</w:t>
      </w:r>
    </w:p>
    <w:p>
      <w:r>
        <w:t>- 12 netting offsets detected</w:t>
      </w:r>
    </w:p>
    <w:p>
      <w:pPr>
        <w:pStyle w:val="Heading1"/>
      </w:pPr>
      <w:r>
        <w:rPr>
          <w:color w:val="002C77"/>
        </w:rPr>
        <w:t>Outlook &amp; Recommendations</w:t>
      </w:r>
    </w:p>
    <w:p>
      <w:r>
        <w:t>1. Operating Income: 7 consecutive months increasing - +$34K projected YE</w:t>
      </w:r>
    </w:p>
    <w:p>
      <w:r>
        <w:t>2. Pbt: 7 consecutive months increasing - +$34K projected YE</w:t>
      </w:r>
    </w:p>
    <w:p>
      <w:r>
        <w:t>3. Net Income: 7 consecutive months increasing - +$34K projected YE</w:t>
      </w:r>
    </w:p>
    <w:p/>
    <w:p>
      <w:r>
        <w:rPr>
          <w:color w:val="8B9AB5"/>
          <w:sz w:val="16"/>
        </w:rPr>
        <w:t>Marsh Vantage - Confidential - AI-Generated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