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5A61" w14:textId="0C6E5391" w:rsidR="00B579FA" w:rsidRDefault="00B579FA" w:rsidP="00B579F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Eric Ramos Aragón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Gestión de Proyectos</w:t>
      </w:r>
    </w:p>
    <w:p w14:paraId="557947D4" w14:textId="77777777" w:rsidR="00B579FA" w:rsidRDefault="00B579FA" w:rsidP="00B579FA">
      <w:pPr>
        <w:spacing w:line="360" w:lineRule="auto"/>
        <w:rPr>
          <w:rFonts w:ascii="Arial" w:hAnsi="Arial" w:cs="Arial"/>
          <w:sz w:val="24"/>
          <w:szCs w:val="24"/>
        </w:rPr>
      </w:pPr>
    </w:p>
    <w:p w14:paraId="1945397E" w14:textId="39F3301B" w:rsidR="00B579FA" w:rsidRPr="00B579FA" w:rsidRDefault="00B579FA" w:rsidP="00B579FA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579FA">
        <w:rPr>
          <w:rFonts w:ascii="Arial" w:hAnsi="Arial" w:cs="Arial"/>
          <w:color w:val="000000" w:themeColor="text1"/>
          <w:sz w:val="28"/>
          <w:szCs w:val="28"/>
        </w:rPr>
        <w:t>Convenio para nombrar los elementos de configuración</w:t>
      </w:r>
    </w:p>
    <w:p w14:paraId="49B6998F" w14:textId="6397574F" w:rsidR="00B579FA" w:rsidRPr="00B579FA" w:rsidRDefault="00B579FA" w:rsidP="00B579FA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B579FA">
        <w:rPr>
          <w:rFonts w:ascii="Arial" w:hAnsi="Arial" w:cs="Arial"/>
          <w:color w:val="000000" w:themeColor="text1"/>
          <w:sz w:val="26"/>
          <w:szCs w:val="26"/>
        </w:rPr>
        <w:t>1. Introducción</w:t>
      </w:r>
    </w:p>
    <w:p w14:paraId="744A2538" w14:textId="0A01567E" w:rsidR="00B579FA" w:rsidRDefault="00B579FA" w:rsidP="00B579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9FA">
        <w:rPr>
          <w:rFonts w:ascii="Arial" w:hAnsi="Arial" w:cs="Arial"/>
          <w:sz w:val="24"/>
          <w:szCs w:val="24"/>
        </w:rPr>
        <w:t>El presente documento establece las convenciones para el nombramiento de los elementos de configuración dentro del proyecto. Su propósito es garantizar la claridad, coherencia y trazabilidad de los archivos, módulos y componentes del sistema, facilitando su identificación</w:t>
      </w:r>
      <w:r w:rsidR="0017552C">
        <w:rPr>
          <w:rFonts w:ascii="Arial" w:hAnsi="Arial" w:cs="Arial"/>
          <w:sz w:val="24"/>
          <w:szCs w:val="24"/>
        </w:rPr>
        <w:t>, uso</w:t>
      </w:r>
      <w:r w:rsidRPr="00B579FA">
        <w:rPr>
          <w:rFonts w:ascii="Arial" w:hAnsi="Arial" w:cs="Arial"/>
          <w:sz w:val="24"/>
          <w:szCs w:val="24"/>
        </w:rPr>
        <w:t xml:space="preserve"> y </w:t>
      </w:r>
      <w:r w:rsidR="0017552C">
        <w:rPr>
          <w:rFonts w:ascii="Arial" w:hAnsi="Arial" w:cs="Arial"/>
          <w:sz w:val="24"/>
          <w:szCs w:val="24"/>
        </w:rPr>
        <w:t>mantenimiento a lo largo del ciclo de vida del proyecto</w:t>
      </w:r>
      <w:r w:rsidRPr="00B579FA">
        <w:rPr>
          <w:rFonts w:ascii="Arial" w:hAnsi="Arial" w:cs="Arial"/>
          <w:sz w:val="24"/>
          <w:szCs w:val="24"/>
        </w:rPr>
        <w:t>.</w:t>
      </w:r>
    </w:p>
    <w:p w14:paraId="376138BC" w14:textId="4EAAA251" w:rsidR="00B579FA" w:rsidRPr="00B579FA" w:rsidRDefault="00B579FA" w:rsidP="00B579FA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B579FA">
        <w:rPr>
          <w:rFonts w:ascii="Arial" w:hAnsi="Arial" w:cs="Arial"/>
          <w:color w:val="000000" w:themeColor="text1"/>
          <w:sz w:val="26"/>
          <w:szCs w:val="26"/>
        </w:rPr>
        <w:t>2. Alcance</w:t>
      </w:r>
    </w:p>
    <w:p w14:paraId="45C78C4E" w14:textId="7454C017" w:rsidR="00B579FA" w:rsidRDefault="00B579FA" w:rsidP="00B579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9FA">
        <w:rPr>
          <w:rFonts w:ascii="Arial" w:hAnsi="Arial" w:cs="Arial"/>
          <w:sz w:val="24"/>
          <w:szCs w:val="24"/>
        </w:rPr>
        <w:t>Este convenio se aplicará a todos los elementos de configuración del sistema, incluyendo código fuente, documentación, archivos de configuración y otros artefactos clave del proyecto.</w:t>
      </w:r>
    </w:p>
    <w:p w14:paraId="088652CF" w14:textId="080407F2" w:rsidR="00B579FA" w:rsidRPr="00EA619D" w:rsidRDefault="00B579FA" w:rsidP="00EA619D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EA619D">
        <w:rPr>
          <w:rFonts w:ascii="Arial" w:hAnsi="Arial" w:cs="Arial"/>
          <w:color w:val="000000" w:themeColor="text1"/>
          <w:sz w:val="26"/>
          <w:szCs w:val="26"/>
        </w:rPr>
        <w:t>3. Convención de nombres</w:t>
      </w:r>
    </w:p>
    <w:p w14:paraId="13221D93" w14:textId="29669303" w:rsidR="00E5234F" w:rsidRPr="00EA619D" w:rsidRDefault="00E5234F" w:rsidP="00EA619D">
      <w:pPr>
        <w:pStyle w:val="Ttulo3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619D">
        <w:rPr>
          <w:rFonts w:ascii="Arial" w:hAnsi="Arial" w:cs="Arial"/>
          <w:color w:val="000000" w:themeColor="text1"/>
          <w:sz w:val="24"/>
          <w:szCs w:val="24"/>
        </w:rPr>
        <w:t>3.1. Código fuente</w:t>
      </w:r>
    </w:p>
    <w:p w14:paraId="582D9217" w14:textId="070EA800" w:rsidR="00E5234F" w:rsidRPr="00E5234F" w:rsidRDefault="00E5234F" w:rsidP="00E523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>Los nombres de archivos deben estar en inglés y seguir una nomenclatura descriptiva.</w:t>
      </w:r>
    </w:p>
    <w:p w14:paraId="2C0DC98C" w14:textId="4F2CA24C" w:rsidR="00E5234F" w:rsidRPr="00E5234F" w:rsidRDefault="00E5234F" w:rsidP="00E523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 xml:space="preserve">Para archivos de código en </w:t>
      </w:r>
      <w:r w:rsidRPr="00E5234F">
        <w:rPr>
          <w:rFonts w:ascii="Arial" w:hAnsi="Arial" w:cs="Arial"/>
          <w:sz w:val="24"/>
          <w:szCs w:val="24"/>
        </w:rPr>
        <w:t>Java:</w:t>
      </w:r>
    </w:p>
    <w:p w14:paraId="0AFDC1A8" w14:textId="037D24D3" w:rsidR="00E5234F" w:rsidRDefault="00E5234F" w:rsidP="00E5234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 xml:space="preserve">Clases: PascalCase (Ejemplo: </w:t>
      </w:r>
      <w:r w:rsidRPr="00E5234F">
        <w:rPr>
          <w:rFonts w:ascii="Arial" w:hAnsi="Arial" w:cs="Arial"/>
          <w:sz w:val="24"/>
          <w:szCs w:val="24"/>
        </w:rPr>
        <w:t>BestCyclic</w:t>
      </w:r>
      <w:r w:rsidRPr="00E5234F">
        <w:rPr>
          <w:rFonts w:ascii="Arial" w:hAnsi="Arial" w:cs="Arial"/>
          <w:sz w:val="24"/>
          <w:szCs w:val="24"/>
        </w:rPr>
        <w:t>Assignment.jav</w:t>
      </w:r>
      <w:r w:rsidRPr="00E5234F">
        <w:rPr>
          <w:rFonts w:ascii="Arial" w:hAnsi="Arial" w:cs="Arial"/>
          <w:sz w:val="24"/>
          <w:szCs w:val="24"/>
        </w:rPr>
        <w:t>a</w:t>
      </w:r>
      <w:r w:rsidRPr="00E5234F">
        <w:rPr>
          <w:rFonts w:ascii="Arial" w:hAnsi="Arial" w:cs="Arial"/>
          <w:sz w:val="24"/>
          <w:szCs w:val="24"/>
        </w:rPr>
        <w:t>).</w:t>
      </w:r>
    </w:p>
    <w:p w14:paraId="4A463F03" w14:textId="5EF00EA3" w:rsidR="00E5234F" w:rsidRPr="00E5234F" w:rsidRDefault="00E5234F" w:rsidP="00E5234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, </w:t>
      </w:r>
      <w:r w:rsidRPr="00E5234F">
        <w:rPr>
          <w:rFonts w:ascii="Arial" w:hAnsi="Arial" w:cs="Arial"/>
          <w:sz w:val="24"/>
          <w:szCs w:val="24"/>
        </w:rPr>
        <w:t>variables</w:t>
      </w:r>
      <w:r>
        <w:rPr>
          <w:rFonts w:ascii="Arial" w:hAnsi="Arial" w:cs="Arial"/>
          <w:sz w:val="24"/>
          <w:szCs w:val="24"/>
        </w:rPr>
        <w:t xml:space="preserve"> y constantes</w:t>
      </w:r>
      <w:r w:rsidRPr="00E5234F">
        <w:rPr>
          <w:rFonts w:ascii="Arial" w:hAnsi="Arial" w:cs="Arial"/>
          <w:sz w:val="24"/>
          <w:szCs w:val="24"/>
        </w:rPr>
        <w:t xml:space="preserve">: camelCase (Ejemplo: </w:t>
      </w:r>
      <w:r>
        <w:rPr>
          <w:rFonts w:ascii="Arial" w:hAnsi="Arial" w:cs="Arial"/>
          <w:sz w:val="24"/>
          <w:szCs w:val="24"/>
        </w:rPr>
        <w:t>maxIterations</w:t>
      </w:r>
      <w:r w:rsidRPr="00E5234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stepAssignment</w:t>
      </w:r>
      <w:r w:rsidRPr="00E5234F">
        <w:rPr>
          <w:rFonts w:ascii="Arial" w:hAnsi="Arial" w:cs="Arial"/>
          <w:sz w:val="24"/>
          <w:szCs w:val="24"/>
        </w:rPr>
        <w:t>()).</w:t>
      </w:r>
    </w:p>
    <w:p w14:paraId="7CB37B5A" w14:textId="53464808" w:rsidR="00E5234F" w:rsidRDefault="00E5234F" w:rsidP="00E5234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 xml:space="preserve">Para archivos de código en </w:t>
      </w:r>
      <w:r w:rsidRPr="00E5234F">
        <w:rPr>
          <w:rFonts w:ascii="Arial" w:hAnsi="Arial" w:cs="Arial"/>
          <w:sz w:val="24"/>
          <w:szCs w:val="24"/>
        </w:rPr>
        <w:t>Python:</w:t>
      </w:r>
    </w:p>
    <w:p w14:paraId="44995C8F" w14:textId="3E961AA8" w:rsidR="0017552C" w:rsidRDefault="00E5234F" w:rsidP="00E5234F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>Clases</w:t>
      </w:r>
      <w:r w:rsidR="0017552C">
        <w:rPr>
          <w:rFonts w:ascii="Arial" w:hAnsi="Arial" w:cs="Arial"/>
          <w:sz w:val="24"/>
          <w:szCs w:val="24"/>
        </w:rPr>
        <w:t xml:space="preserve">: PascalCase (Ejemplo: RandomByElement). </w:t>
      </w:r>
    </w:p>
    <w:p w14:paraId="3E3DE695" w14:textId="166535B6" w:rsidR="00E5234F" w:rsidRDefault="0017552C" w:rsidP="00E5234F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5234F" w:rsidRPr="00E5234F">
        <w:rPr>
          <w:rFonts w:ascii="Arial" w:hAnsi="Arial" w:cs="Arial"/>
          <w:sz w:val="24"/>
          <w:szCs w:val="24"/>
        </w:rPr>
        <w:t>étodos</w:t>
      </w:r>
      <w:r w:rsidR="00E5234F">
        <w:rPr>
          <w:rFonts w:ascii="Arial" w:hAnsi="Arial" w:cs="Arial"/>
          <w:sz w:val="24"/>
          <w:szCs w:val="24"/>
        </w:rPr>
        <w:t xml:space="preserve">, </w:t>
      </w:r>
      <w:r w:rsidR="00E5234F" w:rsidRPr="00E5234F">
        <w:rPr>
          <w:rFonts w:ascii="Arial" w:hAnsi="Arial" w:cs="Arial"/>
          <w:sz w:val="24"/>
          <w:szCs w:val="24"/>
        </w:rPr>
        <w:t xml:space="preserve">variables: </w:t>
      </w:r>
      <w:r w:rsidR="00E5234F" w:rsidRPr="00E5234F">
        <w:rPr>
          <w:rFonts w:ascii="Arial" w:hAnsi="Arial" w:cs="Arial"/>
          <w:sz w:val="24"/>
          <w:szCs w:val="24"/>
        </w:rPr>
        <w:t>snake_case</w:t>
      </w:r>
      <w:r w:rsidR="00E5234F" w:rsidRPr="00E5234F">
        <w:rPr>
          <w:rFonts w:ascii="Arial" w:hAnsi="Arial" w:cs="Arial"/>
          <w:sz w:val="24"/>
          <w:szCs w:val="24"/>
        </w:rPr>
        <w:t xml:space="preserve"> (Ejemplo: </w:t>
      </w:r>
      <w:r w:rsidR="00E5234F" w:rsidRPr="00E5234F">
        <w:rPr>
          <w:rFonts w:ascii="Arial" w:hAnsi="Arial" w:cs="Arial"/>
          <w:sz w:val="24"/>
          <w:szCs w:val="24"/>
        </w:rPr>
        <w:t>farthest_first</w:t>
      </w:r>
      <w:r w:rsidR="00E5234F" w:rsidRPr="00E5234F">
        <w:rPr>
          <w:rFonts w:ascii="Arial" w:hAnsi="Arial" w:cs="Arial"/>
          <w:sz w:val="24"/>
          <w:szCs w:val="24"/>
        </w:rPr>
        <w:t>.</w:t>
      </w:r>
      <w:r w:rsidR="00E5234F" w:rsidRPr="00E5234F">
        <w:rPr>
          <w:rFonts w:ascii="Arial" w:hAnsi="Arial" w:cs="Arial"/>
          <w:sz w:val="24"/>
          <w:szCs w:val="24"/>
        </w:rPr>
        <w:t>py</w:t>
      </w:r>
      <w:r w:rsidR="00E5234F" w:rsidRPr="00E5234F">
        <w:rPr>
          <w:rFonts w:ascii="Arial" w:hAnsi="Arial" w:cs="Arial"/>
          <w:sz w:val="24"/>
          <w:szCs w:val="24"/>
        </w:rPr>
        <w:t>).</w:t>
      </w:r>
    </w:p>
    <w:p w14:paraId="5E3FEB78" w14:textId="5B554443" w:rsidR="00E5234F" w:rsidRPr="0017552C" w:rsidRDefault="0017552C" w:rsidP="00E5234F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552C">
        <w:rPr>
          <w:rFonts w:ascii="Arial" w:hAnsi="Arial" w:cs="Arial"/>
          <w:sz w:val="24"/>
          <w:szCs w:val="24"/>
          <w:lang w:val="en-US"/>
        </w:rPr>
        <w:t>Constantes: UPPER_CASE_SNAKE (Ejemplo: MAX_ITERATIONS).</w:t>
      </w:r>
    </w:p>
    <w:p w14:paraId="3681B8EF" w14:textId="7BF99765" w:rsidR="00E5234F" w:rsidRPr="00EA619D" w:rsidRDefault="00E5234F" w:rsidP="00EA619D">
      <w:pPr>
        <w:pStyle w:val="Ttulo3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619D">
        <w:rPr>
          <w:rFonts w:ascii="Arial" w:hAnsi="Arial" w:cs="Arial"/>
          <w:color w:val="000000" w:themeColor="text1"/>
          <w:sz w:val="24"/>
          <w:szCs w:val="24"/>
        </w:rPr>
        <w:lastRenderedPageBreak/>
        <w:t>3.2. Documentación</w:t>
      </w:r>
    </w:p>
    <w:p w14:paraId="3151BEED" w14:textId="75F7FAAB" w:rsidR="00E5234F" w:rsidRDefault="00E5234F" w:rsidP="00E523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comienza el nombre de cada documento con la fecha en formato DDMMYYYY, seguido de un identificador descriptivo y el nombre de</w:t>
      </w:r>
      <w:r w:rsidR="0017552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17552C">
        <w:rPr>
          <w:rFonts w:ascii="Arial" w:hAnsi="Arial" w:cs="Arial"/>
          <w:sz w:val="24"/>
          <w:szCs w:val="24"/>
        </w:rPr>
        <w:t>responsable</w:t>
      </w:r>
      <w:r>
        <w:rPr>
          <w:rFonts w:ascii="Arial" w:hAnsi="Arial" w:cs="Arial"/>
          <w:sz w:val="24"/>
          <w:szCs w:val="24"/>
        </w:rPr>
        <w:t>.</w:t>
      </w:r>
    </w:p>
    <w:p w14:paraId="7EEFC6DF" w14:textId="615F5765" w:rsidR="00E5234F" w:rsidRPr="00EA619D" w:rsidRDefault="00EA619D" w:rsidP="00EA619D">
      <w:pPr>
        <w:pStyle w:val="Ttulo3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619D">
        <w:rPr>
          <w:rFonts w:ascii="Arial" w:hAnsi="Arial" w:cs="Arial"/>
          <w:color w:val="000000" w:themeColor="text1"/>
          <w:sz w:val="24"/>
          <w:szCs w:val="24"/>
        </w:rPr>
        <w:t xml:space="preserve">3.3. </w:t>
      </w:r>
      <w:r w:rsidR="00E5234F" w:rsidRPr="00EA619D">
        <w:rPr>
          <w:rFonts w:ascii="Arial" w:hAnsi="Arial" w:cs="Arial"/>
          <w:color w:val="000000" w:themeColor="text1"/>
          <w:sz w:val="24"/>
          <w:szCs w:val="24"/>
        </w:rPr>
        <w:t>Versionado de archivos</w:t>
      </w:r>
    </w:p>
    <w:p w14:paraId="3BF05BCD" w14:textId="56E9ACAC" w:rsidR="00E5234F" w:rsidRPr="00E5234F" w:rsidRDefault="00E5234F" w:rsidP="00E523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>Se usará el formato nombre_vX.Y.ext, donde X es la versión mayor e Y la versión menor.</w:t>
      </w:r>
      <w:r>
        <w:rPr>
          <w:rFonts w:ascii="Arial" w:hAnsi="Arial" w:cs="Arial"/>
          <w:sz w:val="24"/>
          <w:szCs w:val="24"/>
        </w:rPr>
        <w:t xml:space="preserve"> </w:t>
      </w:r>
      <w:r w:rsidRPr="00E5234F">
        <w:rPr>
          <w:rFonts w:ascii="Arial" w:hAnsi="Arial" w:cs="Arial"/>
          <w:sz w:val="24"/>
          <w:szCs w:val="24"/>
          <w:lang w:val="en-US"/>
        </w:rPr>
        <w:t>Ejemplo: BHAVRP_Class_Diagram_v15.2.pdf.</w:t>
      </w:r>
    </w:p>
    <w:p w14:paraId="49927290" w14:textId="5E4EFC8F" w:rsidR="00E5234F" w:rsidRPr="00EA619D" w:rsidRDefault="00E5234F" w:rsidP="00EA619D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EA619D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4. Conclusiones </w:t>
      </w:r>
    </w:p>
    <w:p w14:paraId="6FE4DF46" w14:textId="1A922B19" w:rsidR="00E5234F" w:rsidRPr="00E5234F" w:rsidRDefault="00E5234F" w:rsidP="00E523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234F">
        <w:rPr>
          <w:rFonts w:ascii="Arial" w:hAnsi="Arial" w:cs="Arial"/>
          <w:sz w:val="24"/>
          <w:szCs w:val="24"/>
        </w:rPr>
        <w:t>El uso de estas convenciones contribuirá a mantener un entorno de trabajo organizado y facilitará el mantenimiento del sistema. Se espera que todos los integrantes del equipo adopten estos lineamientos para garantizar la coherencia en la gestión de los elementos de configuración.</w:t>
      </w:r>
    </w:p>
    <w:sectPr w:rsidR="00E5234F" w:rsidRPr="00E5234F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6E17"/>
    <w:multiLevelType w:val="hybridMultilevel"/>
    <w:tmpl w:val="6A38474E"/>
    <w:lvl w:ilvl="0" w:tplc="C44646F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4D39"/>
    <w:multiLevelType w:val="hybridMultilevel"/>
    <w:tmpl w:val="85A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765"/>
    <w:multiLevelType w:val="hybridMultilevel"/>
    <w:tmpl w:val="FF643CD2"/>
    <w:lvl w:ilvl="0" w:tplc="C4B29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F339E"/>
    <w:multiLevelType w:val="hybridMultilevel"/>
    <w:tmpl w:val="AC32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D1FC6"/>
    <w:multiLevelType w:val="hybridMultilevel"/>
    <w:tmpl w:val="0F78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4771C"/>
    <w:multiLevelType w:val="hybridMultilevel"/>
    <w:tmpl w:val="949C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4125"/>
    <w:multiLevelType w:val="hybridMultilevel"/>
    <w:tmpl w:val="AF282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E1C"/>
    <w:multiLevelType w:val="hybridMultilevel"/>
    <w:tmpl w:val="B0A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44E21"/>
    <w:multiLevelType w:val="multilevel"/>
    <w:tmpl w:val="15F6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4320C"/>
    <w:multiLevelType w:val="hybridMultilevel"/>
    <w:tmpl w:val="5F70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62C62"/>
    <w:multiLevelType w:val="multilevel"/>
    <w:tmpl w:val="CCDCAB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5379E3"/>
    <w:multiLevelType w:val="hybridMultilevel"/>
    <w:tmpl w:val="FF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6868">
    <w:abstractNumId w:val="3"/>
  </w:num>
  <w:num w:numId="2" w16cid:durableId="1064452886">
    <w:abstractNumId w:val="2"/>
  </w:num>
  <w:num w:numId="3" w16cid:durableId="1735470085">
    <w:abstractNumId w:val="4"/>
  </w:num>
  <w:num w:numId="4" w16cid:durableId="826674386">
    <w:abstractNumId w:val="0"/>
  </w:num>
  <w:num w:numId="5" w16cid:durableId="1481187828">
    <w:abstractNumId w:val="6"/>
  </w:num>
  <w:num w:numId="6" w16cid:durableId="539589686">
    <w:abstractNumId w:val="11"/>
  </w:num>
  <w:num w:numId="7" w16cid:durableId="556819301">
    <w:abstractNumId w:val="7"/>
  </w:num>
  <w:num w:numId="8" w16cid:durableId="334262297">
    <w:abstractNumId w:val="1"/>
  </w:num>
  <w:num w:numId="9" w16cid:durableId="11419521">
    <w:abstractNumId w:val="9"/>
  </w:num>
  <w:num w:numId="10" w16cid:durableId="1931307383">
    <w:abstractNumId w:val="5"/>
  </w:num>
  <w:num w:numId="11" w16cid:durableId="393091082">
    <w:abstractNumId w:val="8"/>
  </w:num>
  <w:num w:numId="12" w16cid:durableId="1090195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E4"/>
    <w:rsid w:val="00084BBF"/>
    <w:rsid w:val="0017552C"/>
    <w:rsid w:val="002D6546"/>
    <w:rsid w:val="003D6B2E"/>
    <w:rsid w:val="00664DE4"/>
    <w:rsid w:val="009A3549"/>
    <w:rsid w:val="00B579FA"/>
    <w:rsid w:val="00CB4F66"/>
    <w:rsid w:val="00D06CF0"/>
    <w:rsid w:val="00D5381B"/>
    <w:rsid w:val="00E5234F"/>
    <w:rsid w:val="00EA619D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CB0D"/>
  <w15:chartTrackingRefBased/>
  <w15:docId w15:val="{961A667A-599A-467E-B1F9-57D59823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F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4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D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4D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64DE4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DE4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DE4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E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E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E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E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64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DE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DE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64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DE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664D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D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DE4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664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4</cp:revision>
  <dcterms:created xsi:type="dcterms:W3CDTF">2025-02-21T03:29:00Z</dcterms:created>
  <dcterms:modified xsi:type="dcterms:W3CDTF">2025-02-21T03:58:00Z</dcterms:modified>
</cp:coreProperties>
</file>