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header3.xml" ContentType="application/vnd.openxmlformats-officedocument.wordprocessingml.header+xml"/>
  <Override PartName="/word/media/image1.png" ContentType="image/png"/>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notes.xml" ContentType="application/vnd.openxmlformats-officedocument.wordprocessingml.footnotes+xml"/>
  <Override PartName="/word/footer3.xml" ContentType="application/vnd.openxmlformats-officedocument.wordprocessingml.foot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Times New Roman" w:hAnsi="Times New Roman" w:eastAsia="Times New Roman" w:cs="Times New Roman"/>
          <w:b/>
          <w:b/>
          <w:sz w:val="24"/>
          <w:szCs w:val="24"/>
          <w:lang w:eastAsia="bg-BG"/>
        </w:rPr>
      </w:pPr>
      <w:r>
        <w:rPr>
          <w:rFonts w:eastAsia="Times New Roman" w:cs="Times New Roman" w:ascii="Times New Roman" w:hAnsi="Times New Roman"/>
          <w:b/>
          <w:sz w:val="24"/>
          <w:szCs w:val="24"/>
          <w:lang w:eastAsia="bg-BG"/>
        </w:rPr>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985" w:right="1985" w:gutter="0" w:header="2438" w:top="4167" w:footer="2438" w:bottom="4167"/>
          <w:pgNumType w:fmt="decimal"/>
          <w:formProt w:val="false"/>
          <w:textDirection w:val="lrTb"/>
          <w:docGrid w:type="default" w:linePitch="360" w:charSpace="4096"/>
        </w:sectPr>
      </w:pPr>
    </w:p>
    <w:p>
      <w:pPr>
        <w:pStyle w:val="Normal"/>
        <w:spacing w:lineRule="auto" w:line="240" w:before="0" w:after="0"/>
        <w:jc w:val="center"/>
        <w:rPr>
          <w:rFonts w:ascii="Times New Roman" w:hAnsi="Times New Roman" w:cs="Times New Roman"/>
          <w:b/>
          <w:b/>
          <w:bCs/>
          <w:sz w:val="24"/>
          <w:szCs w:val="24"/>
          <w:lang w:val="bg-BG"/>
        </w:rPr>
      </w:pPr>
      <w:r>
        <w:rPr>
          <w:rFonts w:cs="Times New Roman" w:ascii="Times New Roman" w:hAnsi="Times New Roman"/>
          <w:b/>
          <w:bCs/>
          <w:sz w:val="24"/>
          <w:szCs w:val="24"/>
          <w:lang w:val="en-US"/>
        </w:rPr>
        <w:t>Free Assembly Languages for developing real-time operating system for embedded devices</w:t>
      </w:r>
    </w:p>
    <w:p>
      <w:pPr>
        <w:pStyle w:val="Normal"/>
        <w:spacing w:lineRule="auto" w:line="240" w:before="0" w:after="0"/>
        <w:jc w:val="center"/>
        <w:rPr>
          <w:rFonts w:ascii="Times New Roman" w:hAnsi="Times New Roman" w:cs="Times New Roman"/>
          <w:b/>
          <w:b/>
          <w:bCs/>
          <w:sz w:val="24"/>
          <w:szCs w:val="24"/>
        </w:rPr>
      </w:pPr>
      <w:r>
        <w:rPr>
          <w:rFonts w:eastAsia="Times New Roman" w:cs="Times New Roman" w:ascii="Times New Roman" w:hAnsi="Times New Roman"/>
          <w:b/>
          <w:position w:val="0"/>
          <w:sz w:val="24"/>
          <w:sz w:val="24"/>
          <w:szCs w:val="24"/>
          <w:vertAlign w:val="baseline"/>
          <w:lang w:val="en-US" w:eastAsia="bg-BG"/>
        </w:rPr>
        <w:t>Veselin</w:t>
      </w:r>
      <w:r>
        <w:rPr>
          <w:rFonts w:eastAsia="Times New Roman" w:cs="Times New Roman" w:ascii="Times New Roman" w:hAnsi="Times New Roman"/>
          <w:b/>
          <w:sz w:val="24"/>
          <w:szCs w:val="24"/>
          <w:vertAlign w:val="superscript"/>
          <w:lang w:val="en-US" w:eastAsia="bg-BG"/>
        </w:rPr>
        <w:t xml:space="preserve"> </w:t>
      </w:r>
      <w:r>
        <w:rPr>
          <w:rFonts w:eastAsia="Times New Roman" w:cs="Times New Roman" w:ascii="Times New Roman" w:hAnsi="Times New Roman"/>
          <w:b/>
          <w:position w:val="0"/>
          <w:sz w:val="24"/>
          <w:sz w:val="24"/>
          <w:szCs w:val="24"/>
          <w:vertAlign w:val="baseline"/>
          <w:lang w:val="en-US" w:eastAsia="bg-BG"/>
        </w:rPr>
        <w:t>Stanchev</w:t>
      </w:r>
      <w:r>
        <w:rPr>
          <w:rStyle w:val="FootnoteAnchor"/>
          <w:rFonts w:eastAsia="Times New Roman" w:cs="Times New Roman" w:ascii="Times New Roman" w:hAnsi="Times New Roman"/>
          <w:b/>
          <w:sz w:val="24"/>
          <w:szCs w:val="24"/>
          <w:vertAlign w:val="superscript"/>
          <w:lang w:val="en-US" w:eastAsia="bg-BG"/>
        </w:rPr>
        <w:footnoteReference w:id="2"/>
      </w:r>
    </w:p>
    <w:p>
      <w:pPr>
        <w:pStyle w:val="Normal"/>
        <w:spacing w:lineRule="auto" w:line="240" w:before="0" w:after="0"/>
        <w:jc w:val="center"/>
        <w:rPr>
          <w:position w:val="0"/>
          <w:sz w:val="22"/>
          <w:sz w:val="22"/>
          <w:vertAlign w:val="baseline"/>
        </w:rPr>
      </w:pPr>
      <w:r>
        <w:rPr>
          <w:position w:val="0"/>
          <w:sz w:val="22"/>
          <w:sz w:val="22"/>
          <w:vertAlign w:val="baseline"/>
        </w:rPr>
        <w:t xml:space="preserve"> </w:t>
      </w:r>
      <w:r>
        <w:rPr>
          <w:rFonts w:eastAsia="Times New Roman" w:cs="Times New Roman" w:ascii="Times New Roman" w:hAnsi="Times New Roman"/>
          <w:b/>
          <w:sz w:val="24"/>
          <w:szCs w:val="24"/>
          <w:vertAlign w:val="superscript"/>
          <w:lang w:val="en-US" w:eastAsia="bg-BG"/>
        </w:rPr>
        <w:t>1</w:t>
      </w:r>
      <w:r>
        <w:rPr>
          <w:rFonts w:eastAsia="Times New Roman" w:cs="Times New Roman" w:ascii="Times New Roman" w:hAnsi="Times New Roman"/>
          <w:b/>
          <w:position w:val="0"/>
          <w:sz w:val="24"/>
          <w:sz w:val="24"/>
          <w:szCs w:val="24"/>
          <w:vertAlign w:val="baseline"/>
          <w:lang w:val="en-US" w:eastAsia="bg-BG"/>
        </w:rPr>
        <w:t>Technical University of Sofia - Plovdiv Branch</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sz w:val="20"/>
          <w:szCs w:val="20"/>
          <w:lang w:val="en-US" w:eastAsia="bg-BG"/>
        </w:rPr>
        <w:t xml:space="preserve">Abstract: </w:t>
      </w:r>
      <w:r>
        <w:rPr>
          <w:rFonts w:eastAsia="Times New Roman" w:cs="Times New Roman" w:ascii="Times New Roman" w:hAnsi="Times New Roman"/>
          <w:b w:val="false"/>
          <w:bCs w:val="false"/>
          <w:sz w:val="20"/>
          <w:szCs w:val="20"/>
          <w:lang w:val="en-US" w:eastAsia="bg-BG"/>
        </w:rPr>
        <w:t>Usage of assembly languages is most natural way to program embedded devices.  There are several types of instruction-set architectures. x86, RISC, CISC and RISC-V instruction-set architectures are the most known. There are different free assembly languages for different devices. For x86 based devices Netwide assembler or Yarn assembler can be used. For devices based on RISC based devices there are GNU assembler, AVR assembler. For RISC-V based devices can be used RISC-V assembler. This paper describes process of finding best assembler to design real-time operating system.</w:t>
      </w:r>
    </w:p>
    <w:p>
      <w:pPr>
        <w:pStyle w:val="Normal"/>
        <w:spacing w:lineRule="auto" w:line="240" w:before="0" w:after="0"/>
        <w:ind w:firstLine="567"/>
        <w:jc w:val="both"/>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ind w:firstLine="567"/>
        <w:jc w:val="both"/>
        <w:rPr>
          <w:rFonts w:ascii="Times New Roman" w:hAnsi="Times New Roman" w:cs="Times New Roman"/>
          <w:b/>
          <w:b/>
          <w:bCs/>
          <w:sz w:val="20"/>
          <w:szCs w:val="20"/>
        </w:rPr>
      </w:pPr>
      <w:r>
        <w:rPr>
          <w:rFonts w:eastAsia="Times New Roman" w:cs="Times New Roman" w:ascii="Times New Roman" w:hAnsi="Times New Roman"/>
          <w:b/>
          <w:bCs/>
          <w:sz w:val="20"/>
          <w:szCs w:val="20"/>
          <w:lang w:val="en-US" w:eastAsia="bg-BG"/>
        </w:rPr>
        <w:t>Keywords</w:t>
      </w:r>
      <w:r>
        <w:rPr>
          <w:rFonts w:cs="Times New Roman" w:ascii="Times New Roman" w:hAnsi="Times New Roman"/>
          <w:b/>
          <w:bCs/>
          <w:sz w:val="20"/>
          <w:szCs w:val="20"/>
          <w:lang w:val="en-US"/>
        </w:rPr>
        <w:t>: risc-v assembly, avr assembly, operating system</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ListParagraph"/>
        <w:numPr>
          <w:ilvl w:val="0"/>
          <w:numId w:val="1"/>
        </w:numPr>
        <w:spacing w:lineRule="auto" w:line="240" w:before="0" w:after="0"/>
        <w:contextualSpacing/>
        <w:jc w:val="both"/>
        <w:rPr>
          <w:lang w:val="en-US"/>
        </w:rPr>
      </w:pPr>
      <w:r>
        <w:rPr>
          <w:rFonts w:eastAsia="Times New Roman" w:cs="Times New Roman" w:ascii="Times New Roman" w:hAnsi="Times New Roman"/>
          <w:b/>
          <w:sz w:val="20"/>
          <w:szCs w:val="20"/>
          <w:lang w:val="en-US" w:eastAsia="bg-BG"/>
        </w:rPr>
        <w:t>Introduction</w:t>
      </w:r>
    </w:p>
    <w:p>
      <w:pPr>
        <w:pStyle w:val="ListParagraph"/>
        <w:spacing w:lineRule="auto" w:line="240" w:before="0" w:after="0"/>
        <w:contextualSpacing/>
        <w:jc w:val="both"/>
        <w:rPr>
          <w:rFonts w:ascii="Times New Roman" w:hAnsi="Times New Roman"/>
          <w:lang w:val="en-US"/>
        </w:rPr>
      </w:pPr>
      <w:r>
        <w:rPr>
          <w:rFonts w:ascii="Times New Roman" w:hAnsi="Times New Roman"/>
          <w:lang w:val="en-US"/>
        </w:rPr>
        <w:t>Programming languages for operating system design are C and Assemly language. There are several types of operating systems. AVR assembler is used for range of AVR RISC devices. GNU assembler can be used for RISC-based single board computers as Raspberry Pi 3, 4 or for latest  Raspberry Pi  5.</w:t>
      </w:r>
    </w:p>
    <w:p>
      <w:pPr>
        <w:pStyle w:val="ListParagraph"/>
        <w:spacing w:lineRule="auto" w:line="240" w:before="0" w:after="0"/>
        <w:contextualSpacing/>
        <w:jc w:val="both"/>
        <w:rPr>
          <w:rFonts w:ascii="Times New Roman" w:hAnsi="Times New Roman" w:eastAsia="Times New Roman" w:cs="Times New Roman"/>
          <w:b/>
          <w:b/>
          <w:sz w:val="20"/>
          <w:szCs w:val="20"/>
          <w:lang w:eastAsia="bg-BG"/>
        </w:rPr>
      </w:pPr>
      <w:r>
        <w:rPr>
          <w:rFonts w:eastAsia="Times New Roman" w:cs="Times New Roman" w:ascii="Times New Roman" w:hAnsi="Times New Roman"/>
          <w:b/>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H1NoSpace"/>
        <w:numPr>
          <w:ilvl w:val="0"/>
          <w:numId w:val="0"/>
        </w:numPr>
        <w:ind w:left="720" w:hanging="0"/>
        <w:jc w:val="both"/>
        <w:rPr>
          <w:b/>
          <w:b/>
          <w:bCs/>
          <w:sz w:val="20"/>
          <w:szCs w:val="20"/>
        </w:rPr>
      </w:pPr>
      <w:r>
        <w:rPr>
          <w:rFonts w:cs="Helvetica;Arial" w:ascii="Times New Roman" w:hAnsi="Times New Roman"/>
          <w:b/>
          <w:bCs/>
          <w:color w:val="000000"/>
          <w:sz w:val="20"/>
          <w:szCs w:val="20"/>
        </w:rPr>
        <w:t>2. M</w:t>
      </w:r>
      <w:r>
        <w:rPr>
          <w:rFonts w:cs="Helvetica;Arial" w:ascii="Times New Roman" w:hAnsi="Times New Roman"/>
          <w:b/>
          <w:bCs/>
          <w:color w:val="000000"/>
          <w:sz w:val="20"/>
          <w:szCs w:val="20"/>
        </w:rPr>
        <w:t xml:space="preserve">aterial and </w:t>
      </w:r>
      <w:r>
        <w:rPr>
          <w:rFonts w:cs="Helvetica;Arial" w:ascii="Times New Roman" w:hAnsi="Times New Roman"/>
          <w:b/>
          <w:bCs/>
          <w:color w:val="000000"/>
          <w:sz w:val="20"/>
          <w:szCs w:val="20"/>
        </w:rPr>
        <w:t>M</w:t>
      </w:r>
      <w:r>
        <w:rPr>
          <w:rFonts w:cs="Helvetica;Arial" w:ascii="Times New Roman" w:hAnsi="Times New Roman"/>
          <w:b/>
          <w:bCs/>
          <w:color w:val="000000"/>
          <w:sz w:val="20"/>
          <w:szCs w:val="20"/>
        </w:rPr>
        <w:t>ethods</w:t>
      </w:r>
    </w:p>
    <w:p>
      <w:pPr>
        <w:pStyle w:val="Normal"/>
        <w:numPr>
          <w:ilvl w:val="0"/>
          <w:numId w:val="0"/>
        </w:numPr>
        <w:spacing w:lineRule="auto" w:line="240" w:before="0" w:after="0"/>
        <w:ind w:left="720" w:hanging="0"/>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tbl>
      <w:tblPr>
        <w:tblW w:w="5000" w:type="pct"/>
        <w:jc w:val="left"/>
        <w:tblInd w:w="0" w:type="dxa"/>
        <w:tblLayout w:type="fixed"/>
        <w:tblCellMar>
          <w:top w:w="0" w:type="dxa"/>
          <w:left w:w="7" w:type="dxa"/>
          <w:bottom w:w="0" w:type="dxa"/>
          <w:right w:w="0" w:type="dxa"/>
        </w:tblCellMar>
      </w:tblPr>
      <w:tblGrid>
        <w:gridCol w:w="2645"/>
        <w:gridCol w:w="2645"/>
        <w:gridCol w:w="2646"/>
      </w:tblGrid>
      <w:tr>
        <w:trPr/>
        <w:tc>
          <w:tcPr>
            <w:tcW w:w="2645" w:type="dxa"/>
            <w:tcBorders>
              <w:top w:val="single" w:sz="6" w:space="0" w:color="000000"/>
              <w:left w:val="single" w:sz="6" w:space="0" w:color="000000"/>
              <w:bottom w:val="single" w:sz="6" w:space="0" w:color="000000"/>
            </w:tcBorders>
          </w:tcPr>
          <w:p>
            <w:pPr>
              <w:pStyle w:val="TableContents"/>
              <w:widowControl w:val="false"/>
              <w:spacing w:before="0" w:after="160"/>
              <w:jc w:val="center"/>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Operating System</w:t>
            </w:r>
          </w:p>
        </w:tc>
        <w:tc>
          <w:tcPr>
            <w:tcW w:w="2645" w:type="dxa"/>
            <w:tcBorders>
              <w:top w:val="single" w:sz="6" w:space="0" w:color="000000"/>
              <w:left w:val="single" w:sz="6" w:space="0" w:color="000000"/>
              <w:bottom w:val="single" w:sz="6" w:space="0" w:color="000000"/>
            </w:tcBorders>
          </w:tcPr>
          <w:p>
            <w:pPr>
              <w:pStyle w:val="TableContents"/>
              <w:widowControl w:val="false"/>
              <w:spacing w:before="0" w:after="160"/>
              <w:jc w:val="center"/>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Type</w:t>
            </w:r>
          </w:p>
        </w:tc>
        <w:tc>
          <w:tcPr>
            <w:tcW w:w="2646" w:type="dxa"/>
            <w:tcBorders>
              <w:top w:val="single" w:sz="6" w:space="0" w:color="000000"/>
              <w:left w:val="single" w:sz="6" w:space="0" w:color="000000"/>
              <w:bottom w:val="single" w:sz="6" w:space="0" w:color="000000"/>
              <w:right w:val="single" w:sz="6" w:space="0" w:color="000000"/>
            </w:tcBorders>
          </w:tcPr>
          <w:p>
            <w:pPr>
              <w:pStyle w:val="TableContents"/>
              <w:widowControl w:val="false"/>
              <w:spacing w:before="0" w:after="160"/>
              <w:jc w:val="center"/>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Written in</w:t>
            </w:r>
          </w:p>
        </w:tc>
      </w:tr>
      <w:tr>
        <w:trPr/>
        <w:tc>
          <w:tcPr>
            <w:tcW w:w="2645" w:type="dxa"/>
            <w:tcBorders>
              <w:left w:val="single" w:sz="6" w:space="0" w:color="000000"/>
              <w:bottom w:val="single" w:sz="6" w:space="0" w:color="000000"/>
            </w:tcBorders>
          </w:tcPr>
          <w:p>
            <w:pPr>
              <w:pStyle w:val="TableContents"/>
              <w:widowControl w:val="false"/>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Zephyr</w:t>
            </w:r>
          </w:p>
        </w:tc>
        <w:tc>
          <w:tcPr>
            <w:tcW w:w="2645" w:type="dxa"/>
            <w:tcBorders>
              <w:left w:val="single" w:sz="6" w:space="0" w:color="000000"/>
              <w:bottom w:val="single" w:sz="6" w:space="0" w:color="000000"/>
            </w:tcBorders>
          </w:tcPr>
          <w:p>
            <w:pPr>
              <w:pStyle w:val="TableContents"/>
              <w:widowControl w:val="false"/>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real-time</w:t>
            </w:r>
          </w:p>
        </w:tc>
        <w:tc>
          <w:tcPr>
            <w:tcW w:w="2646" w:type="dxa"/>
            <w:tcBorders>
              <w:left w:val="single" w:sz="6" w:space="0" w:color="000000"/>
              <w:bottom w:val="single" w:sz="6" w:space="0" w:color="000000"/>
              <w:right w:val="single" w:sz="6" w:space="0" w:color="000000"/>
            </w:tcBorders>
          </w:tcPr>
          <w:p>
            <w:pPr>
              <w:pStyle w:val="TableContents"/>
              <w:widowControl w:val="false"/>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w:t>
            </w:r>
          </w:p>
        </w:tc>
      </w:tr>
      <w:tr>
        <w:trPr/>
        <w:tc>
          <w:tcPr>
            <w:tcW w:w="2645" w:type="dxa"/>
            <w:tcBorders>
              <w:left w:val="single" w:sz="6" w:space="0" w:color="000000"/>
              <w:bottom w:val="single" w:sz="6" w:space="0" w:color="000000"/>
            </w:tcBorders>
          </w:tcPr>
          <w:p>
            <w:pPr>
              <w:pStyle w:val="TableContents"/>
              <w:widowControl w:val="false"/>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FreeRTOS</w:t>
            </w:r>
          </w:p>
        </w:tc>
        <w:tc>
          <w:tcPr>
            <w:tcW w:w="2645" w:type="dxa"/>
            <w:tcBorders>
              <w:left w:val="single" w:sz="6" w:space="0" w:color="000000"/>
              <w:bottom w:val="single" w:sz="6" w:space="0" w:color="000000"/>
            </w:tcBorders>
          </w:tcPr>
          <w:p>
            <w:pPr>
              <w:pStyle w:val="TableContents"/>
              <w:widowControl w:val="false"/>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real-time</w:t>
            </w:r>
          </w:p>
        </w:tc>
        <w:tc>
          <w:tcPr>
            <w:tcW w:w="2646" w:type="dxa"/>
            <w:tcBorders>
              <w:left w:val="single" w:sz="6" w:space="0" w:color="000000"/>
              <w:bottom w:val="single" w:sz="6" w:space="0" w:color="000000"/>
              <w:right w:val="single" w:sz="6" w:space="0" w:color="000000"/>
            </w:tcBorders>
          </w:tcPr>
          <w:p>
            <w:pPr>
              <w:pStyle w:val="TableContents"/>
              <w:widowControl w:val="false"/>
              <w:spacing w:before="0" w:after="16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w:t>
            </w:r>
          </w:p>
        </w:tc>
      </w:tr>
    </w:tbl>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H1NoSpace"/>
        <w:numPr>
          <w:ilvl w:val="0"/>
          <w:numId w:val="0"/>
        </w:numPr>
        <w:ind w:left="720" w:hanging="0"/>
        <w:jc w:val="both"/>
        <w:rPr>
          <w:rFonts w:ascii="Times New Roman" w:hAnsi="Times New Roman" w:cs="Helvetica;Arial"/>
          <w:b w:val="false"/>
          <w:b w:val="false"/>
          <w:bCs w:val="false"/>
          <w:color w:val="000000"/>
          <w:sz w:val="20"/>
          <w:szCs w:val="20"/>
        </w:rPr>
      </w:pPr>
      <w:r>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H1NoSpace"/>
        <w:jc w:val="left"/>
        <w:rPr>
          <w:rFonts w:ascii="Times New Roman" w:hAnsi="Times New Roman" w:cs="Times New Roman"/>
          <w:b w:val="false"/>
          <w:b w:val="false"/>
          <w:bCs w:val="false"/>
          <w:color w:val="000000"/>
          <w:sz w:val="20"/>
          <w:szCs w:val="20"/>
        </w:rPr>
      </w:pPr>
      <w:r>
        <w:rPr>
          <w:rFonts w:cs="Times New Roman" w:ascii="Times New Roman" w:hAnsi="Times New Roman"/>
          <w:b w:val="false"/>
          <w:bCs w:val="false"/>
          <w:color w:val="000000"/>
          <w:sz w:val="20"/>
          <w:szCs w:val="20"/>
        </w:rPr>
        <w:t>Veselin Stanchev</w:t>
      </w:r>
    </w:p>
    <w:p>
      <w:pPr>
        <w:pStyle w:val="H1NoSpace"/>
        <w:jc w:val="left"/>
        <w:rPr>
          <w:rFonts w:ascii="Times New Roman" w:hAnsi="Times New Roman" w:cs="Times New Roman"/>
          <w:b w:val="false"/>
          <w:b w:val="false"/>
          <w:bCs w:val="false"/>
          <w:color w:val="000000"/>
          <w:sz w:val="20"/>
          <w:szCs w:val="20"/>
        </w:rPr>
      </w:pPr>
      <w:r>
        <w:rPr>
          <w:rFonts w:cs="Times New Roman" w:ascii="Times New Roman" w:hAnsi="Times New Roman"/>
          <w:b w:val="false"/>
          <w:bCs w:val="false"/>
          <w:color w:val="000000"/>
          <w:sz w:val="20"/>
          <w:szCs w:val="20"/>
        </w:rPr>
        <w:t>Graduate Eng. Master of Science.</w:t>
      </w:r>
    </w:p>
    <w:p>
      <w:pPr>
        <w:pStyle w:val="H1NoSpace"/>
        <w:jc w:val="left"/>
        <w:rPr>
          <w:rFonts w:ascii="Times New Roman" w:hAnsi="Times New Roman" w:cs="Times New Roman"/>
          <w:b w:val="false"/>
          <w:b w:val="false"/>
          <w:bCs w:val="false"/>
          <w:color w:val="000000"/>
          <w:sz w:val="20"/>
          <w:szCs w:val="20"/>
        </w:rPr>
      </w:pPr>
      <w:r>
        <w:rPr>
          <w:rFonts w:cs="Times New Roman" w:ascii="Times New Roman" w:hAnsi="Times New Roman"/>
          <w:b w:val="false"/>
          <w:bCs w:val="false"/>
          <w:color w:val="000000"/>
          <w:sz w:val="20"/>
          <w:szCs w:val="20"/>
        </w:rPr>
        <w:t>Professional Field:Computer Systems,</w:t>
      </w:r>
    </w:p>
    <w:p>
      <w:pPr>
        <w:pStyle w:val="H1NoSpace"/>
        <w:jc w:val="left"/>
        <w:rPr>
          <w:rFonts w:ascii="Times New Roman" w:hAnsi="Times New Roman" w:cs="Times New Roman"/>
          <w:b w:val="false"/>
          <w:b w:val="false"/>
          <w:bCs w:val="false"/>
          <w:color w:val="000000"/>
          <w:sz w:val="20"/>
          <w:szCs w:val="20"/>
        </w:rPr>
      </w:pPr>
      <w:r>
        <w:rPr>
          <w:rFonts w:cs="Times New Roman" w:ascii="Times New Roman" w:hAnsi="Times New Roman"/>
          <w:b w:val="false"/>
          <w:bCs w:val="false"/>
          <w:color w:val="000000"/>
          <w:sz w:val="20"/>
          <w:szCs w:val="20"/>
        </w:rPr>
        <w:t>Complexes and Networks</w:t>
      </w:r>
    </w:p>
    <w:p>
      <w:pPr>
        <w:pStyle w:val="H1NoSpace"/>
        <w:jc w:val="left"/>
        <w:rPr>
          <w:rFonts w:ascii="Times New Roman" w:hAnsi="Times New Roman" w:cs="Times New Roman"/>
          <w:b w:val="false"/>
          <w:b w:val="false"/>
          <w:bCs w:val="false"/>
          <w:color w:val="000000"/>
          <w:sz w:val="20"/>
          <w:szCs w:val="20"/>
        </w:rPr>
      </w:pPr>
      <w:r>
        <w:rPr>
          <w:rFonts w:cs="Times New Roman" w:ascii="Times New Roman" w:hAnsi="Times New Roman"/>
          <w:b w:val="false"/>
          <w:bCs w:val="false"/>
          <w:color w:val="000000"/>
          <w:sz w:val="20"/>
          <w:szCs w:val="20"/>
        </w:rPr>
        <w:t>Scientific field: Computer Architectures</w:t>
      </w:r>
    </w:p>
    <w:p>
      <w:pPr>
        <w:pStyle w:val="Normal"/>
        <w:spacing w:lineRule="auto" w:line="240" w:before="0" w:after="0"/>
        <w:ind w:hanging="0"/>
        <w:jc w:val="left"/>
        <w:rPr/>
      </w:pPr>
      <w:r>
        <w:rPr>
          <w:rFonts w:eastAsia="Times New Roman" w:cs="Times New Roman" w:ascii="Times New Roman" w:hAnsi="Times New Roman"/>
          <w:lang w:eastAsia="bg-BG"/>
        </w:rPr>
        <w:t>E-mail: vrstanchev@gmail.com</w:t>
      </w:r>
    </w:p>
    <w:p>
      <w:pPr>
        <w:pStyle w:val="Normal"/>
        <w:spacing w:lineRule="auto" w:line="240" w:before="0" w:after="0"/>
        <w:ind w:hanging="0"/>
        <w:jc w:val="left"/>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t>ORCID iD: 0009-0009-2992-5326</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drawing>
          <wp:anchor behindDoc="0" distT="0" distB="0" distL="0" distR="0" simplePos="0" locked="0" layoutInCell="0" allowOverlap="1" relativeHeight="2">
            <wp:simplePos x="0" y="0"/>
            <wp:positionH relativeFrom="column">
              <wp:posOffset>102235</wp:posOffset>
            </wp:positionH>
            <wp:positionV relativeFrom="paragraph">
              <wp:posOffset>62230</wp:posOffset>
            </wp:positionV>
            <wp:extent cx="1210310" cy="1616710"/>
            <wp:effectExtent l="0" t="0" r="0" b="0"/>
            <wp:wrapTopAndBottom/>
            <wp:docPr id="1"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7" descr=""/>
                    <pic:cNvPicPr>
                      <a:picLocks noChangeAspect="1" noChangeArrowheads="1"/>
                    </pic:cNvPicPr>
                  </pic:nvPicPr>
                  <pic:blipFill>
                    <a:blip r:embed="rId8"/>
                    <a:srcRect l="5574" t="-1096" r="18424" b="-227"/>
                    <a:stretch>
                      <a:fillRect/>
                    </a:stretch>
                  </pic:blipFill>
                  <pic:spPr bwMode="auto">
                    <a:xfrm>
                      <a:off x="0" y="0"/>
                      <a:ext cx="1210310" cy="1616710"/>
                    </a:xfrm>
                    <a:prstGeom prst="rect">
                      <a:avLst/>
                    </a:prstGeom>
                  </pic:spPr>
                </pic:pic>
              </a:graphicData>
            </a:graphic>
          </wp:anchor>
        </w:drawing>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t>Подготвените за отпечатване материали трябва да са в обем до 4 страници. Допускат се и по-обемни статии и доклади, като всяка допълнителна страница се заплаща отделно.</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t>Основните параметри на всяка страница са:</w:t>
      </w:r>
    </w:p>
    <w:p>
      <w:pPr>
        <w:pStyle w:val="ListParagraph"/>
        <w:numPr>
          <w:ilvl w:val="0"/>
          <w:numId w:val="2"/>
        </w:numPr>
        <w:spacing w:lineRule="auto" w:line="240" w:before="0" w:after="0"/>
        <w:contextualSpacing/>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i/>
          <w:iCs/>
          <w:sz w:val="20"/>
          <w:szCs w:val="20"/>
          <w:lang w:eastAsia="bg-BG"/>
        </w:rPr>
        <w:t>Размер на страницата:</w:t>
      </w:r>
      <w:r>
        <w:rPr>
          <w:rFonts w:eastAsia="Times New Roman" w:cs="Times New Roman" w:ascii="Times New Roman" w:hAnsi="Times New Roman"/>
          <w:sz w:val="20"/>
          <w:szCs w:val="20"/>
          <w:lang w:eastAsia="bg-BG"/>
        </w:rPr>
        <w:t xml:space="preserve"> File, Page Setup, Paper Size – А4.</w:t>
      </w:r>
    </w:p>
    <w:p>
      <w:pPr>
        <w:pStyle w:val="ListParagraph"/>
        <w:numPr>
          <w:ilvl w:val="0"/>
          <w:numId w:val="2"/>
        </w:numPr>
        <w:spacing w:lineRule="auto" w:line="240" w:before="0" w:after="0"/>
        <w:contextualSpacing/>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i/>
          <w:iCs/>
          <w:sz w:val="20"/>
          <w:szCs w:val="20"/>
          <w:lang w:eastAsia="bg-BG"/>
        </w:rPr>
        <w:t>Размер на печатаемото поле:</w:t>
      </w:r>
      <w:r>
        <w:rPr>
          <w:rFonts w:eastAsia="Times New Roman" w:cs="Times New Roman" w:ascii="Times New Roman" w:hAnsi="Times New Roman"/>
          <w:sz w:val="20"/>
          <w:szCs w:val="20"/>
          <w:lang w:eastAsia="bg-BG"/>
        </w:rPr>
        <w:t xml:space="preserve"> 14 см на 21 см: File, Page Setup, Margins:</w:t>
      </w:r>
    </w:p>
    <w:p>
      <w:pPr>
        <w:pStyle w:val="ListParagraph"/>
        <w:numPr>
          <w:ilvl w:val="0"/>
          <w:numId w:val="3"/>
        </w:numPr>
        <w:spacing w:lineRule="auto" w:line="240" w:before="0" w:after="0"/>
        <w:contextualSpacing/>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t xml:space="preserve">в сантиметри: Top, Bottom – </w:t>
      </w:r>
      <w:bookmarkStart w:id="0" w:name="__DdeLink__90_1335179283"/>
      <w:r>
        <w:rPr>
          <w:rFonts w:eastAsia="Times New Roman" w:cs="Times New Roman" w:ascii="Times New Roman" w:hAnsi="Times New Roman"/>
          <w:sz w:val="20"/>
          <w:szCs w:val="20"/>
          <w:lang w:eastAsia="bg-BG"/>
        </w:rPr>
        <w:t xml:space="preserve">4.3 </w:t>
      </w:r>
      <w:bookmarkEnd w:id="0"/>
      <w:r>
        <w:rPr>
          <w:rFonts w:eastAsia="Times New Roman" w:cs="Times New Roman" w:ascii="Times New Roman" w:hAnsi="Times New Roman"/>
          <w:sz w:val="20"/>
          <w:szCs w:val="20"/>
          <w:lang w:eastAsia="bg-BG"/>
        </w:rPr>
        <w:t>cm; Left, Right – 3.5 cm;</w:t>
      </w:r>
    </w:p>
    <w:p>
      <w:pPr>
        <w:pStyle w:val="ListParagraph"/>
        <w:numPr>
          <w:ilvl w:val="0"/>
          <w:numId w:val="3"/>
        </w:numPr>
        <w:spacing w:lineRule="auto" w:line="240" w:before="0" w:after="0"/>
        <w:contextualSpacing/>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t>в инчове: Top, Bottom – 1.69; Left, Right – 1.38.</w:t>
      </w:r>
    </w:p>
    <w:p>
      <w:pPr>
        <w:pStyle w:val="ListParagraph"/>
        <w:numPr>
          <w:ilvl w:val="0"/>
          <w:numId w:val="2"/>
        </w:numPr>
        <w:spacing w:lineRule="auto" w:line="240" w:before="0" w:after="0"/>
        <w:contextualSpacing/>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i/>
          <w:iCs/>
          <w:sz w:val="20"/>
          <w:szCs w:val="20"/>
          <w:lang w:eastAsia="bg-BG"/>
        </w:rPr>
        <w:t>Междуредово разстояние:</w:t>
      </w:r>
      <w:r>
        <w:rPr>
          <w:rFonts w:eastAsia="Times New Roman" w:cs="Times New Roman" w:ascii="Times New Roman" w:hAnsi="Times New Roman"/>
          <w:sz w:val="20"/>
          <w:szCs w:val="20"/>
          <w:lang w:eastAsia="bg-BG"/>
        </w:rPr>
        <w:t xml:space="preserve"> Format, Paragraph, Line spacing single.</w:t>
      </w:r>
    </w:p>
    <w:p>
      <w:pPr>
        <w:pStyle w:val="ListParagraph"/>
        <w:numPr>
          <w:ilvl w:val="0"/>
          <w:numId w:val="2"/>
        </w:numPr>
        <w:spacing w:lineRule="auto" w:line="240" w:before="0" w:after="0"/>
        <w:contextualSpacing/>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i/>
          <w:iCs/>
          <w:sz w:val="20"/>
          <w:szCs w:val="20"/>
          <w:lang w:eastAsia="bg-BG"/>
        </w:rPr>
        <w:t>Шрифт:</w:t>
      </w:r>
      <w:r>
        <w:rPr>
          <w:rFonts w:eastAsia="Times New Roman" w:cs="Times New Roman" w:ascii="Times New Roman" w:hAnsi="Times New Roman"/>
          <w:sz w:val="20"/>
          <w:szCs w:val="20"/>
          <w:lang w:eastAsia="bg-BG"/>
        </w:rPr>
        <w:t xml:space="preserve"> Times New Roman</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i/>
          <w:iCs/>
          <w:sz w:val="20"/>
          <w:szCs w:val="20"/>
          <w:lang w:eastAsia="bg-BG"/>
        </w:rPr>
        <w:t>Заглавие на доклада, автори, месторабота:</w:t>
      </w:r>
      <w:r>
        <w:rPr>
          <w:rFonts w:eastAsia="Times New Roman" w:cs="Times New Roman" w:ascii="Times New Roman" w:hAnsi="Times New Roman"/>
          <w:sz w:val="20"/>
          <w:szCs w:val="20"/>
          <w:lang w:eastAsia="bg-BG"/>
        </w:rPr>
        <w:t xml:space="preserve"> Size 12, Bold</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i/>
          <w:iCs/>
          <w:sz w:val="20"/>
          <w:szCs w:val="20"/>
          <w:lang w:eastAsia="bg-BG"/>
        </w:rPr>
        <w:t>Abstract:</w:t>
      </w:r>
      <w:r>
        <w:rPr>
          <w:rFonts w:eastAsia="Times New Roman" w:cs="Times New Roman" w:ascii="Times New Roman" w:hAnsi="Times New Roman"/>
          <w:sz w:val="20"/>
          <w:szCs w:val="20"/>
          <w:lang w:eastAsia="bg-BG"/>
        </w:rPr>
        <w:t xml:space="preserve"> Size 10, Bold. </w:t>
      </w:r>
      <w:r>
        <w:rPr>
          <w:rFonts w:eastAsia="Times New Roman" w:cs="Times New Roman" w:ascii="Times New Roman" w:hAnsi="Times New Roman"/>
          <w:b/>
          <w:bCs/>
          <w:i/>
          <w:iCs/>
          <w:sz w:val="20"/>
          <w:szCs w:val="20"/>
          <w:lang w:eastAsia="bg-BG"/>
        </w:rPr>
        <w:t>Текст на доклада и резюмето:</w:t>
      </w:r>
      <w:r>
        <w:rPr>
          <w:rFonts w:eastAsia="Times New Roman" w:cs="Times New Roman" w:ascii="Times New Roman" w:hAnsi="Times New Roman"/>
          <w:sz w:val="20"/>
          <w:szCs w:val="20"/>
          <w:lang w:eastAsia="bg-BG"/>
        </w:rPr>
        <w:t xml:space="preserve"> Size 10, Normal.</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i/>
          <w:iCs/>
          <w:sz w:val="20"/>
          <w:szCs w:val="20"/>
          <w:lang w:eastAsia="bg-BG"/>
        </w:rPr>
        <w:t>Фигурите, снимките и диаграмите</w:t>
      </w:r>
      <w:r>
        <w:rPr>
          <w:rFonts w:eastAsia="Times New Roman" w:cs="Times New Roman" w:ascii="Times New Roman" w:hAnsi="Times New Roman"/>
          <w:sz w:val="20"/>
          <w:szCs w:val="20"/>
          <w:lang w:eastAsia="bg-BG"/>
        </w:rPr>
        <w:t xml:space="preserve"> към доклада трябва да бъдат интегрирани в текста. </w:t>
      </w:r>
      <w:r>
        <w:rPr>
          <w:rFonts w:eastAsia="Times New Roman" w:cs="Times New Roman" w:ascii="Times New Roman" w:hAnsi="Times New Roman"/>
          <w:b/>
          <w:bCs/>
          <w:i/>
          <w:iCs/>
          <w:sz w:val="20"/>
          <w:szCs w:val="20"/>
          <w:lang w:eastAsia="bg-BG"/>
        </w:rPr>
        <w:t>Бележки и забележки</w:t>
      </w:r>
      <w:r>
        <w:rPr>
          <w:rFonts w:eastAsia="Times New Roman" w:cs="Times New Roman" w:ascii="Times New Roman" w:hAnsi="Times New Roman"/>
          <w:sz w:val="20"/>
          <w:szCs w:val="20"/>
          <w:lang w:eastAsia="bg-BG"/>
        </w:rPr>
        <w:t xml:space="preserve"> се пишат под линия на съответната страница.</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i/>
          <w:iCs/>
          <w:sz w:val="20"/>
          <w:szCs w:val="20"/>
          <w:lang w:eastAsia="bg-BG"/>
        </w:rPr>
        <w:t>Цитираната литература</w:t>
      </w:r>
      <w:r>
        <w:rPr>
          <w:rFonts w:eastAsia="Times New Roman" w:cs="Times New Roman" w:ascii="Times New Roman" w:hAnsi="Times New Roman"/>
          <w:sz w:val="20"/>
          <w:szCs w:val="20"/>
          <w:lang w:eastAsia="bg-BG"/>
        </w:rPr>
        <w:t xml:space="preserve"> трябва да бъде разположена в края на статията, а в текста да се цитира в малки скоби, като се изписват името на автора и годината на издаване. Пример: (Ivanov, 2022).</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t>При желание авторите могат да публикуват в края на статията информация за себе си и адрес за връзка и кореспонденция.</w:t>
      </w:r>
    </w:p>
    <w:p>
      <w:pPr>
        <w:pStyle w:val="Normal"/>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r>
    </w:p>
    <w:p>
      <w:pPr>
        <w:pStyle w:val="ListParagraph"/>
        <w:numPr>
          <w:ilvl w:val="0"/>
          <w:numId w:val="1"/>
        </w:numPr>
        <w:spacing w:lineRule="auto" w:line="240" w:before="0" w:after="0"/>
        <w:contextualSpacing/>
        <w:jc w:val="both"/>
        <w:rPr>
          <w:rFonts w:ascii="Times New Roman" w:hAnsi="Times New Roman" w:cs="Times New Roman"/>
          <w:b/>
          <w:b/>
          <w:bCs/>
          <w:sz w:val="20"/>
          <w:szCs w:val="20"/>
        </w:rPr>
      </w:pPr>
      <w:r>
        <w:rPr>
          <w:rFonts w:eastAsia="Times New Roman" w:cs="Times New Roman" w:ascii="Times New Roman" w:hAnsi="Times New Roman"/>
          <w:b/>
          <w:sz w:val="20"/>
          <w:szCs w:val="20"/>
          <w:lang w:eastAsia="bg-BG"/>
        </w:rPr>
        <w:t>ИЗЛОЖЕНИЕ</w:t>
      </w:r>
    </w:p>
    <w:p>
      <w:pPr>
        <w:pStyle w:val="Normal"/>
        <w:spacing w:lineRule="auto" w:line="240" w:before="0" w:after="0"/>
        <w:ind w:firstLine="567"/>
        <w:jc w:val="both"/>
        <w:rPr>
          <w:rFonts w:ascii="Times New Roman" w:hAnsi="Times New Roman" w:cs="Times New Roman"/>
          <w:sz w:val="20"/>
          <w:szCs w:val="20"/>
        </w:rPr>
      </w:pPr>
      <w:r>
        <w:rPr>
          <w:rFonts w:eastAsia="Times New Roman" w:cs="Times New Roman" w:ascii="Times New Roman" w:hAnsi="Times New Roman"/>
          <w:sz w:val="20"/>
          <w:szCs w:val="20"/>
          <w:lang w:eastAsia="bg-BG"/>
        </w:rPr>
        <w:t>Текст на изложението...</w:t>
      </w:r>
    </w:p>
    <w:p>
      <w:pPr>
        <w:pStyle w:val="Normal"/>
        <w:spacing w:lineRule="auto" w:line="240" w:before="0" w:after="0"/>
        <w:jc w:val="both"/>
        <w:rPr>
          <w:rFonts w:ascii="Times New Roman" w:hAnsi="Times New Roman" w:cs="Times New Roman"/>
          <w:sz w:val="20"/>
          <w:szCs w:val="20"/>
        </w:rPr>
      </w:pPr>
      <w:r>
        <w:rPr>
          <w:rFonts w:cs="Times New Roman" w:ascii="Times New Roman" w:hAnsi="Times New Roman"/>
          <w:sz w:val="20"/>
          <w:szCs w:val="20"/>
        </w:rPr>
      </w:r>
    </w:p>
    <w:p>
      <w:pPr>
        <w:pStyle w:val="ListParagraph"/>
        <w:numPr>
          <w:ilvl w:val="0"/>
          <w:numId w:val="1"/>
        </w:numPr>
        <w:spacing w:lineRule="auto" w:line="240" w:before="0" w:after="0"/>
        <w:contextualSpacing/>
        <w:jc w:val="both"/>
        <w:rPr>
          <w:rFonts w:ascii="Times New Roman" w:hAnsi="Times New Roman" w:cs="Times New Roman"/>
          <w:b/>
          <w:b/>
          <w:bCs/>
          <w:sz w:val="20"/>
          <w:szCs w:val="20"/>
        </w:rPr>
      </w:pPr>
      <w:r>
        <w:rPr>
          <w:rFonts w:eastAsia="Times New Roman" w:cs="Times New Roman" w:ascii="Times New Roman" w:hAnsi="Times New Roman"/>
          <w:b/>
          <w:sz w:val="20"/>
          <w:szCs w:val="20"/>
          <w:lang w:eastAsia="bg-BG"/>
        </w:rPr>
        <w:t>ЗАКЛЮЧЕНИЕ</w:t>
      </w:r>
    </w:p>
    <w:p>
      <w:pPr>
        <w:pStyle w:val="Normal"/>
        <w:spacing w:lineRule="auto" w:line="240" w:before="0" w:after="0"/>
        <w:ind w:firstLine="567"/>
        <w:jc w:val="both"/>
        <w:rPr>
          <w:rFonts w:ascii="Times New Roman" w:hAnsi="Times New Roman" w:cs="Times New Roman"/>
          <w:b/>
          <w:b/>
          <w:bCs/>
          <w:sz w:val="20"/>
          <w:szCs w:val="20"/>
        </w:rPr>
      </w:pPr>
      <w:r>
        <w:rPr>
          <w:rFonts w:eastAsia="Times New Roman" w:cs="Times New Roman" w:ascii="Times New Roman" w:hAnsi="Times New Roman"/>
          <w:sz w:val="20"/>
          <w:szCs w:val="20"/>
          <w:lang w:eastAsia="bg-BG"/>
        </w:rPr>
        <w:t>Текст на заключението...</w:t>
      </w:r>
    </w:p>
    <w:p>
      <w:pPr>
        <w:pStyle w:val="Normal"/>
        <w:spacing w:lineRule="auto" w:line="240" w:before="0" w:after="0"/>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ind w:firstLine="567"/>
        <w:jc w:val="both"/>
        <w:rPr>
          <w:rFonts w:ascii="Times New Roman" w:hAnsi="Times New Roman" w:eastAsia="Times New Roman" w:cs="Times New Roman"/>
          <w:b/>
          <w:b/>
          <w:sz w:val="20"/>
          <w:szCs w:val="20"/>
          <w:lang w:eastAsia="bg-BG"/>
        </w:rPr>
      </w:pPr>
      <w:r>
        <w:rPr>
          <w:rFonts w:eastAsia="Times New Roman" w:cs="Times New Roman" w:ascii="Times New Roman" w:hAnsi="Times New Roman"/>
          <w:b/>
          <w:sz w:val="20"/>
          <w:szCs w:val="20"/>
          <w:lang w:eastAsia="bg-BG"/>
        </w:rPr>
        <w:t xml:space="preserve">БЛАГОДАРНОСТИ: </w:t>
      </w:r>
      <w:r>
        <w:rPr>
          <w:rFonts w:eastAsia="Times New Roman" w:cs="Times New Roman" w:ascii="Times New Roman" w:hAnsi="Times New Roman"/>
          <w:sz w:val="20"/>
          <w:szCs w:val="20"/>
          <w:lang w:eastAsia="bg-BG"/>
        </w:rPr>
        <w:t>Тук може да изразите благодарност на учени и спонсори, както и признателност за оказана финансова подкрепа....</w:t>
      </w:r>
      <w:r>
        <w:rPr>
          <w:rFonts w:eastAsia="Times New Roman" w:cs="Times New Roman" w:ascii="Times New Roman" w:hAnsi="Times New Roman"/>
          <w:b/>
          <w:sz w:val="20"/>
          <w:szCs w:val="20"/>
          <w:lang w:eastAsia="bg-BG"/>
        </w:rPr>
        <w:t xml:space="preserve"> </w:t>
      </w:r>
    </w:p>
    <w:p>
      <w:pPr>
        <w:pStyle w:val="Normal"/>
        <w:spacing w:lineRule="auto" w:line="240" w:before="0" w:after="0"/>
        <w:ind w:firstLine="567"/>
        <w:jc w:val="both"/>
        <w:rPr>
          <w:rFonts w:ascii="Times New Roman" w:hAnsi="Times New Roman" w:eastAsia="Times New Roman" w:cs="Times New Roman"/>
          <w:b/>
          <w:b/>
          <w:sz w:val="20"/>
          <w:szCs w:val="20"/>
          <w:lang w:eastAsia="bg-BG"/>
        </w:rPr>
      </w:pPr>
      <w:r>
        <w:rPr>
          <w:rFonts w:eastAsia="Times New Roman" w:cs="Times New Roman" w:ascii="Times New Roman" w:hAnsi="Times New Roman"/>
          <w:b/>
          <w:sz w:val="20"/>
          <w:szCs w:val="20"/>
          <w:lang w:eastAsia="bg-BG"/>
        </w:rPr>
      </w:r>
    </w:p>
    <w:p>
      <w:pPr>
        <w:pStyle w:val="ListParagraph"/>
        <w:spacing w:lineRule="auto" w:line="240" w:before="0" w:after="0"/>
        <w:ind w:left="927" w:hanging="360"/>
        <w:contextualSpacing/>
        <w:jc w:val="both"/>
        <w:rPr>
          <w:rFonts w:ascii="Times New Roman" w:hAnsi="Times New Roman" w:eastAsia="Times New Roman" w:cs="Times New Roman"/>
          <w:b/>
          <w:b/>
          <w:sz w:val="20"/>
          <w:szCs w:val="20"/>
          <w:lang w:eastAsia="bg-BG"/>
        </w:rPr>
      </w:pPr>
      <w:r>
        <w:rPr>
          <w:rFonts w:eastAsia="Times New Roman" w:cs="Times New Roman" w:ascii="Times New Roman" w:hAnsi="Times New Roman"/>
          <w:b/>
          <w:sz w:val="20"/>
          <w:szCs w:val="20"/>
          <w:lang w:eastAsia="bg-BG"/>
        </w:rPr>
      </w:r>
    </w:p>
    <w:p>
      <w:pPr>
        <w:pStyle w:val="ListParagraph"/>
        <w:spacing w:lineRule="auto" w:line="240" w:before="0" w:after="0"/>
        <w:ind w:left="927" w:hanging="360"/>
        <w:contextualSpacing/>
        <w:jc w:val="both"/>
        <w:rPr>
          <w:rFonts w:ascii="Times New Roman" w:hAnsi="Times New Roman" w:eastAsia="Times New Roman" w:cs="Times New Roman"/>
          <w:b/>
          <w:b/>
          <w:sz w:val="20"/>
          <w:szCs w:val="20"/>
          <w:lang w:eastAsia="bg-BG"/>
        </w:rPr>
      </w:pPr>
      <w:r>
        <w:rPr>
          <w:rFonts w:eastAsia="Times New Roman" w:cs="Times New Roman" w:ascii="Times New Roman" w:hAnsi="Times New Roman"/>
          <w:b/>
          <w:sz w:val="20"/>
          <w:szCs w:val="20"/>
          <w:lang w:eastAsia="bg-BG"/>
        </w:rPr>
      </w:r>
    </w:p>
    <w:p>
      <w:pPr>
        <w:pStyle w:val="ListParagraph"/>
        <w:spacing w:lineRule="auto" w:line="240" w:before="0" w:after="0"/>
        <w:ind w:left="927" w:hanging="360"/>
        <w:contextualSpacing/>
        <w:jc w:val="both"/>
        <w:rPr>
          <w:rFonts w:ascii="Times New Roman" w:hAnsi="Times New Roman" w:eastAsia="Times New Roman" w:cs="Times New Roman"/>
          <w:b/>
          <w:b/>
          <w:sz w:val="20"/>
          <w:szCs w:val="20"/>
          <w:lang w:eastAsia="bg-BG"/>
        </w:rPr>
      </w:pPr>
      <w:r>
        <w:rPr>
          <w:rFonts w:eastAsia="Times New Roman" w:cs="Times New Roman" w:ascii="Times New Roman" w:hAnsi="Times New Roman"/>
          <w:b/>
          <w:sz w:val="20"/>
          <w:szCs w:val="20"/>
          <w:lang w:eastAsia="bg-BG"/>
        </w:rPr>
      </w:r>
    </w:p>
    <w:p>
      <w:pPr>
        <w:pStyle w:val="ListParagraph"/>
        <w:spacing w:lineRule="auto" w:line="240" w:before="0" w:after="0"/>
        <w:ind w:left="927" w:hanging="360"/>
        <w:contextualSpacing/>
        <w:jc w:val="both"/>
        <w:rPr>
          <w:rFonts w:ascii="Times New Roman" w:hAnsi="Times New Roman" w:eastAsia="Times New Roman" w:cs="Times New Roman"/>
          <w:b/>
          <w:b/>
          <w:sz w:val="20"/>
          <w:szCs w:val="20"/>
          <w:lang w:eastAsia="bg-BG"/>
        </w:rPr>
      </w:pPr>
      <w:r>
        <w:rPr>
          <w:rFonts w:eastAsia="Times New Roman" w:cs="Times New Roman" w:ascii="Times New Roman" w:hAnsi="Times New Roman"/>
          <w:b/>
          <w:sz w:val="20"/>
          <w:szCs w:val="20"/>
          <w:lang w:eastAsia="bg-BG"/>
        </w:rPr>
        <w:t>ЛИТЕРАТУРА</w:t>
      </w:r>
    </w:p>
    <w:p>
      <w:pPr>
        <w:pStyle w:val="Normal"/>
        <w:spacing w:lineRule="auto" w:line="240" w:before="0" w:after="0"/>
        <w:ind w:firstLine="567"/>
        <w:jc w:val="both"/>
        <w:rPr>
          <w:rFonts w:ascii="Times New Roman" w:hAnsi="Times New Roman" w:cs="Times New Roman"/>
          <w:sz w:val="20"/>
          <w:szCs w:val="20"/>
        </w:rPr>
      </w:pPr>
      <w:r>
        <w:rPr>
          <w:rFonts w:cs="Times New Roman" w:ascii="Times New Roman" w:hAnsi="Times New Roman"/>
          <w:sz w:val="20"/>
          <w:szCs w:val="20"/>
        </w:rPr>
        <w:t xml:space="preserve">Използвайте APA стил за цитиране: </w:t>
      </w:r>
      <w:hyperlink r:id="rId9">
        <w:r>
          <w:rPr>
            <w:rStyle w:val="InternetLink"/>
            <w:rFonts w:cs="Times New Roman" w:ascii="Times New Roman" w:hAnsi="Times New Roman"/>
            <w:sz w:val="20"/>
            <w:szCs w:val="20"/>
          </w:rPr>
          <w:t>https://apastyle.apa.org/style-grammar-guidelines/references</w:t>
        </w:r>
      </w:hyperlink>
      <w:r>
        <w:rPr>
          <w:rFonts w:cs="Times New Roman" w:ascii="Times New Roman" w:hAnsi="Times New Roman"/>
          <w:sz w:val="20"/>
          <w:szCs w:val="20"/>
        </w:rPr>
        <w:t>. Ето няколко примера съответно за книга, глава от книга, статия в печатно списание, статия в електронно списание и уебсайт:</w:t>
      </w:r>
    </w:p>
    <w:p>
      <w:pPr>
        <w:pStyle w:val="Normal"/>
        <w:tabs>
          <w:tab w:val="clear" w:pos="708"/>
          <w:tab w:val="left" w:pos="1134" w:leader="none"/>
        </w:tabs>
        <w:spacing w:lineRule="auto" w:line="240" w:before="0" w:after="0"/>
        <w:ind w:firstLine="567"/>
        <w:jc w:val="both"/>
        <w:rPr>
          <w:rFonts w:ascii="Times New Roman" w:hAnsi="Times New Roman" w:cs="Times New Roman"/>
          <w:sz w:val="20"/>
          <w:szCs w:val="20"/>
          <w:lang w:val="en-US"/>
        </w:rPr>
      </w:pPr>
      <w:r>
        <w:rPr>
          <w:rFonts w:eastAsia="Times New Roman" w:cs="Times New Roman" w:ascii="Times New Roman" w:hAnsi="Times New Roman"/>
          <w:b/>
          <w:sz w:val="20"/>
          <w:szCs w:val="20"/>
          <w:lang w:eastAsia="bg-BG"/>
        </w:rPr>
        <w:t>Sapolsky, R. M.</w:t>
      </w:r>
      <w:r>
        <w:rPr>
          <w:rFonts w:cs="Times New Roman" w:ascii="Times New Roman" w:hAnsi="Times New Roman"/>
          <w:sz w:val="20"/>
          <w:szCs w:val="20"/>
          <w:lang w:val="en-US"/>
        </w:rPr>
        <w:t xml:space="preserve"> (2017). </w:t>
      </w:r>
      <w:r>
        <w:rPr>
          <w:rFonts w:cs="Times New Roman" w:ascii="Times New Roman" w:hAnsi="Times New Roman"/>
          <w:i/>
          <w:iCs/>
          <w:sz w:val="20"/>
          <w:szCs w:val="20"/>
          <w:lang w:val="en-US"/>
        </w:rPr>
        <w:t>Behave: The biology of humans at our best and worst</w:t>
      </w:r>
      <w:r>
        <w:rPr>
          <w:rFonts w:cs="Times New Roman" w:ascii="Times New Roman" w:hAnsi="Times New Roman"/>
          <w:sz w:val="20"/>
          <w:szCs w:val="20"/>
          <w:lang w:val="en-US"/>
        </w:rPr>
        <w:t>. Penguin Books.</w:t>
      </w:r>
    </w:p>
    <w:p>
      <w:pPr>
        <w:pStyle w:val="Normal"/>
        <w:tabs>
          <w:tab w:val="clear" w:pos="708"/>
          <w:tab w:val="left" w:pos="1134" w:leader="none"/>
        </w:tabs>
        <w:spacing w:lineRule="auto" w:line="240" w:before="0" w:after="0"/>
        <w:ind w:firstLine="567"/>
        <w:jc w:val="both"/>
        <w:rPr>
          <w:rFonts w:ascii="Times New Roman" w:hAnsi="Times New Roman" w:cs="Times New Roman"/>
          <w:sz w:val="20"/>
          <w:szCs w:val="20"/>
          <w:lang w:val="en-US"/>
        </w:rPr>
      </w:pPr>
      <w:r>
        <w:rPr>
          <w:rFonts w:eastAsia="Times New Roman" w:cs="Times New Roman" w:ascii="Times New Roman" w:hAnsi="Times New Roman"/>
          <w:b/>
          <w:sz w:val="20"/>
          <w:szCs w:val="20"/>
          <w:lang w:eastAsia="bg-BG"/>
        </w:rPr>
        <w:t>Dillard, J. P.</w:t>
      </w:r>
      <w:r>
        <w:rPr>
          <w:rFonts w:cs="Times New Roman" w:ascii="Times New Roman" w:hAnsi="Times New Roman"/>
          <w:sz w:val="20"/>
          <w:szCs w:val="20"/>
          <w:lang w:val="en-US"/>
        </w:rPr>
        <w:t xml:space="preserve"> (2020). </w:t>
      </w:r>
      <w:r>
        <w:rPr>
          <w:rFonts w:eastAsia="Times New Roman" w:cs="Times New Roman" w:ascii="Times New Roman" w:hAnsi="Times New Roman"/>
          <w:sz w:val="20"/>
          <w:szCs w:val="20"/>
          <w:lang w:eastAsia="bg-BG"/>
        </w:rPr>
        <w:t>Currents</w:t>
      </w:r>
      <w:r>
        <w:rPr>
          <w:rFonts w:cs="Times New Roman" w:ascii="Times New Roman" w:hAnsi="Times New Roman"/>
          <w:sz w:val="20"/>
          <w:szCs w:val="20"/>
          <w:lang w:val="en-US"/>
        </w:rPr>
        <w:t xml:space="preserve"> in the study of persuasion. In M. B. Oliver, A. A. Raney, &amp; J. Bryant (Eds.), </w:t>
      </w:r>
      <w:r>
        <w:rPr>
          <w:rFonts w:cs="Times New Roman" w:ascii="Times New Roman" w:hAnsi="Times New Roman"/>
          <w:i/>
          <w:iCs/>
          <w:sz w:val="20"/>
          <w:szCs w:val="20"/>
          <w:lang w:val="en-US"/>
        </w:rPr>
        <w:t>Media effects: Advances in theory and research</w:t>
      </w:r>
      <w:r>
        <w:rPr>
          <w:rFonts w:cs="Times New Roman" w:ascii="Times New Roman" w:hAnsi="Times New Roman"/>
          <w:sz w:val="20"/>
          <w:szCs w:val="20"/>
          <w:lang w:val="en-US"/>
        </w:rPr>
        <w:t xml:space="preserve"> (4th ed., pp. 115–129). Routledge.</w:t>
      </w:r>
    </w:p>
    <w:p>
      <w:pPr>
        <w:pStyle w:val="Normal"/>
        <w:tabs>
          <w:tab w:val="clear" w:pos="708"/>
          <w:tab w:val="left" w:pos="1134" w:leader="none"/>
        </w:tabs>
        <w:spacing w:lineRule="auto" w:line="240" w:before="0" w:after="0"/>
        <w:ind w:firstLine="567"/>
        <w:jc w:val="both"/>
        <w:rPr>
          <w:rFonts w:ascii="Times New Roman" w:hAnsi="Times New Roman" w:cs="Times New Roman"/>
          <w:sz w:val="20"/>
          <w:szCs w:val="20"/>
          <w:lang w:val="en-US"/>
        </w:rPr>
      </w:pPr>
      <w:r>
        <w:rPr>
          <w:rFonts w:eastAsia="Times New Roman" w:cs="Times New Roman" w:ascii="Times New Roman" w:hAnsi="Times New Roman"/>
          <w:b/>
          <w:sz w:val="20"/>
          <w:szCs w:val="20"/>
          <w:lang w:eastAsia="bg-BG"/>
        </w:rPr>
        <w:t>Weinstein, J.</w:t>
      </w:r>
      <w:r>
        <w:rPr>
          <w:rFonts w:cs="Times New Roman" w:ascii="Times New Roman" w:hAnsi="Times New Roman"/>
          <w:sz w:val="20"/>
          <w:szCs w:val="20"/>
          <w:lang w:val="en-US"/>
        </w:rPr>
        <w:t xml:space="preserve"> (2009). “The market in Plato’s Republic.” </w:t>
      </w:r>
      <w:r>
        <w:rPr>
          <w:rFonts w:cs="Times New Roman" w:ascii="Times New Roman" w:hAnsi="Times New Roman"/>
          <w:i/>
          <w:iCs/>
          <w:sz w:val="20"/>
          <w:szCs w:val="20"/>
          <w:lang w:val="en-US"/>
        </w:rPr>
        <w:t>Classical Philology</w:t>
      </w:r>
      <w:r>
        <w:rPr>
          <w:rFonts w:cs="Times New Roman" w:ascii="Times New Roman" w:hAnsi="Times New Roman"/>
          <w:sz w:val="20"/>
          <w:szCs w:val="20"/>
          <w:lang w:val="en-US"/>
        </w:rPr>
        <w:t>, 104(4), 439-458.</w:t>
      </w:r>
    </w:p>
    <w:p>
      <w:pPr>
        <w:pStyle w:val="Normal"/>
        <w:tabs>
          <w:tab w:val="clear" w:pos="708"/>
          <w:tab w:val="left" w:pos="1134" w:leader="none"/>
        </w:tabs>
        <w:spacing w:lineRule="auto" w:line="240" w:before="0" w:after="0"/>
        <w:ind w:firstLine="567"/>
        <w:jc w:val="both"/>
        <w:rPr>
          <w:rFonts w:ascii="Times New Roman" w:hAnsi="Times New Roman" w:cs="Times New Roman"/>
          <w:sz w:val="20"/>
          <w:szCs w:val="20"/>
        </w:rPr>
      </w:pPr>
      <w:r>
        <w:rPr>
          <w:rFonts w:eastAsia="Times New Roman" w:cs="Times New Roman" w:ascii="Times New Roman" w:hAnsi="Times New Roman"/>
          <w:b/>
          <w:sz w:val="20"/>
          <w:szCs w:val="20"/>
          <w:lang w:eastAsia="bg-BG"/>
        </w:rPr>
        <w:t>Grady, J. S., Her, M., Moreno, G., Perez, C., &amp; Yelinek, J.</w:t>
      </w:r>
      <w:r>
        <w:rPr>
          <w:rFonts w:cs="Times New Roman" w:ascii="Times New Roman" w:hAnsi="Times New Roman"/>
          <w:sz w:val="20"/>
          <w:szCs w:val="20"/>
          <w:lang w:val="en-US"/>
        </w:rPr>
        <w:t xml:space="preserve"> (2019). Emotions in </w:t>
      </w:r>
      <w:r>
        <w:rPr>
          <w:rFonts w:eastAsia="Times New Roman" w:cs="Times New Roman" w:ascii="Times New Roman" w:hAnsi="Times New Roman"/>
          <w:sz w:val="20"/>
          <w:szCs w:val="20"/>
          <w:lang w:eastAsia="bg-BG"/>
        </w:rPr>
        <w:t>storybooks</w:t>
      </w:r>
      <w:r>
        <w:rPr>
          <w:rFonts w:cs="Times New Roman" w:ascii="Times New Roman" w:hAnsi="Times New Roman"/>
          <w:sz w:val="20"/>
          <w:szCs w:val="20"/>
          <w:lang w:val="en-US"/>
        </w:rPr>
        <w:t xml:space="preserve">: A comparison of storybooks that represent ethnic and racial groups in the United States. </w:t>
      </w:r>
      <w:r>
        <w:rPr>
          <w:rFonts w:cs="Times New Roman" w:ascii="Times New Roman" w:hAnsi="Times New Roman"/>
          <w:i/>
          <w:iCs/>
          <w:sz w:val="20"/>
          <w:szCs w:val="20"/>
          <w:lang w:val="en-US"/>
        </w:rPr>
        <w:t>Psychology of Popular Media Culture</w:t>
      </w:r>
      <w:r>
        <w:rPr>
          <w:rFonts w:cs="Times New Roman" w:ascii="Times New Roman" w:hAnsi="Times New Roman"/>
          <w:sz w:val="20"/>
          <w:szCs w:val="20"/>
          <w:lang w:val="en-US"/>
        </w:rPr>
        <w:t>, 8(3), 207–217. https://doi.org/10.1037/ppm0000185</w:t>
      </w:r>
      <w:r>
        <w:rPr>
          <w:rFonts w:cs="Times New Roman" w:ascii="Times New Roman" w:hAnsi="Times New Roman"/>
          <w:sz w:val="20"/>
          <w:szCs w:val="20"/>
        </w:rPr>
        <w:t xml:space="preserve">. </w:t>
      </w:r>
    </w:p>
    <w:p>
      <w:pPr>
        <w:pStyle w:val="Normal"/>
        <w:tabs>
          <w:tab w:val="clear" w:pos="708"/>
          <w:tab w:val="left" w:pos="1134" w:leader="none"/>
        </w:tabs>
        <w:spacing w:lineRule="auto" w:line="240" w:before="0" w:after="0"/>
        <w:ind w:firstLine="567"/>
        <w:jc w:val="both"/>
        <w:rPr>
          <w:rFonts w:ascii="Times New Roman" w:hAnsi="Times New Roman" w:cs="Times New Roman"/>
          <w:sz w:val="20"/>
          <w:szCs w:val="20"/>
          <w:lang w:val="en-US"/>
        </w:rPr>
      </w:pPr>
      <w:r>
        <w:rPr>
          <w:rFonts w:eastAsia="Times New Roman" w:cs="Times New Roman" w:ascii="Times New Roman" w:hAnsi="Times New Roman"/>
          <w:b/>
          <w:sz w:val="20"/>
          <w:szCs w:val="20"/>
          <w:lang w:val="en-US" w:eastAsia="bg-BG"/>
        </w:rPr>
        <w:t xml:space="preserve">Bologna, C. </w:t>
      </w:r>
      <w:r>
        <w:rPr>
          <w:rFonts w:cs="Times New Roman" w:ascii="Times New Roman" w:hAnsi="Times New Roman"/>
          <w:sz w:val="20"/>
          <w:szCs w:val="20"/>
          <w:lang w:val="en-US"/>
        </w:rPr>
        <w:t xml:space="preserve">(2019, October 31). </w:t>
      </w:r>
      <w:r>
        <w:rPr>
          <w:rFonts w:cs="Times New Roman" w:ascii="Times New Roman" w:hAnsi="Times New Roman"/>
          <w:i/>
          <w:iCs/>
          <w:sz w:val="20"/>
          <w:szCs w:val="20"/>
          <w:lang w:val="en-US"/>
        </w:rPr>
        <w:t>Why some people with anxiety love watching horror movies</w:t>
      </w:r>
      <w:r>
        <w:rPr>
          <w:rFonts w:cs="Times New Roman" w:ascii="Times New Roman" w:hAnsi="Times New Roman"/>
          <w:sz w:val="20"/>
          <w:szCs w:val="20"/>
          <w:lang w:val="en-US"/>
        </w:rPr>
        <w:t>. HuffPost. https://www.huffpost.com/entry/anxiety-love-watching-horror-movies_l_5d277587e4b0 2a5a5d57b59e.</w:t>
      </w:r>
    </w:p>
    <w:sectPr>
      <w:footnotePr>
        <w:numFmt w:val="decimal"/>
      </w:footnotePr>
      <w:type w:val="continuous"/>
      <w:pgSz w:w="11906" w:h="16838"/>
      <w:pgMar w:left="1985" w:right="1985" w:gutter="0" w:header="2438" w:top="4167" w:footer="2438" w:bottom="4167"/>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Helvetica">
    <w:altName w:val="Arial"/>
    <w:charset w:val="01"/>
    <w:family w:val="roman"/>
    <w:pitch w:val="variable"/>
  </w:font>
  <w:font w:name="Times New Roman">
    <w:charset w:val="01"/>
    <w:family w:val="roman"/>
    <w:pitch w:val="variable"/>
  </w:font>
  <w:font w:name="Times New Roman">
    <w:charset w:val="01"/>
    <w:family w:val="roman"/>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160"/>
        <w:rPr/>
      </w:pPr>
      <w:r>
        <w:rPr>
          <w:rStyle w:val="FootnoteCharacters"/>
        </w:rPr>
        <w:footnoteRef/>
      </w:r>
      <w:r>
        <w:rPr>
          <w:lang w:val="en-US"/>
        </w:rPr>
        <w:tab/>
        <w:t xml:space="preserve">PhD Theme: </w:t>
      </w:r>
      <w:r>
        <w:rPr/>
        <w:t xml:space="preserve">Methods and Tools to develop a assembly-based operating system for embedded devices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both"/>
      <w:rPr>
        <w:rFonts w:ascii="Times New Roman" w:hAnsi="Times New Roman" w:cs="Times New Roman"/>
        <w:sz w:val="24"/>
        <w:szCs w:val="24"/>
      </w:rPr>
    </w:pPr>
    <w:r>
      <w:rPr>
        <w:rFonts w:cs="Times New Roman" w:ascii="Times New Roman" w:hAnsi="Times New Roman"/>
        <w:b/>
        <w:bCs/>
        <w:sz w:val="24"/>
        <w:szCs w:val="24"/>
      </w:rPr>
      <w:t>Научни трудове на Съюза на учените в България–Пловдив, серия B. Техника и технологии, т.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 Scientific researches of the Union of Scientists in Bulgaria-Plovdiv, series C. Technics and Technologies, Vol.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both"/>
      <w:rPr>
        <w:rFonts w:ascii="Times New Roman" w:hAnsi="Times New Roman" w:cs="Times New Roman"/>
        <w:sz w:val="24"/>
        <w:szCs w:val="24"/>
      </w:rPr>
    </w:pPr>
    <w:r>
      <w:rPr>
        <w:rFonts w:cs="Times New Roman" w:ascii="Times New Roman" w:hAnsi="Times New Roman"/>
        <w:b/>
        <w:bCs/>
        <w:sz w:val="24"/>
        <w:szCs w:val="24"/>
      </w:rPr>
      <w:t>Научни трудове на Съюза на учените в България–Пловдив, серия B. Техника и технологии, т.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 Scientific researches of the Union of Scientists in Bulgaria-Plovdiv, series C. Technics and Technologies, Vol.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927" w:hanging="360"/>
      </w:pPr>
      <w:rPr>
        <w:rFonts w:eastAsia="Times New Roman"/>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2">
    <w:lvl w:ilvl="0">
      <w:start w:val="1"/>
      <w:numFmt w:val="decimal"/>
      <w:lvlText w:val="%1."/>
      <w:lvlJc w:val="left"/>
      <w:pPr>
        <w:tabs>
          <w:tab w:val="num" w:pos="0"/>
        </w:tabs>
        <w:ind w:left="927" w:hanging="360"/>
      </w:pPr>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3">
    <w:lvl w:ilvl="0">
      <w:start w:val="1"/>
      <w:numFmt w:val="bullet"/>
      <w:lvlText w:val=""/>
      <w:lvlJc w:val="left"/>
      <w:pPr>
        <w:tabs>
          <w:tab w:val="num" w:pos="0"/>
        </w:tabs>
        <w:ind w:left="1287" w:hanging="360"/>
      </w:pPr>
      <w:rPr>
        <w:rFonts w:ascii="Symbol" w:hAnsi="Symbol" w:cs="Symbol" w:hint="default"/>
      </w:rPr>
    </w:lvl>
    <w:lvl w:ilvl="1">
      <w:start w:val="1"/>
      <w:numFmt w:val="lowerLetter"/>
      <w:lvlText w:val="%2."/>
      <w:lvlJc w:val="left"/>
      <w:pPr>
        <w:tabs>
          <w:tab w:val="num" w:pos="0"/>
        </w:tabs>
        <w:ind w:left="2007" w:hanging="360"/>
      </w:pPr>
      <w:rPr/>
    </w:lvl>
    <w:lvl w:ilvl="2">
      <w:start w:val="1"/>
      <w:numFmt w:val="lowerRoman"/>
      <w:lvlText w:val="%3."/>
      <w:lvlJc w:val="right"/>
      <w:pPr>
        <w:tabs>
          <w:tab w:val="num" w:pos="0"/>
        </w:tabs>
        <w:ind w:left="2727" w:hanging="180"/>
      </w:pPr>
      <w:rPr/>
    </w:lvl>
    <w:lvl w:ilvl="3">
      <w:start w:val="1"/>
      <w:numFmt w:val="decimal"/>
      <w:lvlText w:val="%4."/>
      <w:lvlJc w:val="left"/>
      <w:pPr>
        <w:tabs>
          <w:tab w:val="num" w:pos="0"/>
        </w:tabs>
        <w:ind w:left="3447" w:hanging="360"/>
      </w:pPr>
      <w:rPr/>
    </w:lvl>
    <w:lvl w:ilvl="4">
      <w:start w:val="1"/>
      <w:numFmt w:val="lowerLetter"/>
      <w:lvlText w:val="%5."/>
      <w:lvlJc w:val="left"/>
      <w:pPr>
        <w:tabs>
          <w:tab w:val="num" w:pos="0"/>
        </w:tabs>
        <w:ind w:left="4167" w:hanging="360"/>
      </w:pPr>
      <w:rPr/>
    </w:lvl>
    <w:lvl w:ilvl="5">
      <w:start w:val="1"/>
      <w:numFmt w:val="lowerRoman"/>
      <w:lvlText w:val="%6."/>
      <w:lvlJc w:val="right"/>
      <w:pPr>
        <w:tabs>
          <w:tab w:val="num" w:pos="0"/>
        </w:tabs>
        <w:ind w:left="4887" w:hanging="180"/>
      </w:pPr>
      <w:rPr/>
    </w:lvl>
    <w:lvl w:ilvl="6">
      <w:start w:val="1"/>
      <w:numFmt w:val="decimal"/>
      <w:lvlText w:val="%7."/>
      <w:lvlJc w:val="left"/>
      <w:pPr>
        <w:tabs>
          <w:tab w:val="num" w:pos="0"/>
        </w:tabs>
        <w:ind w:left="5607" w:hanging="360"/>
      </w:pPr>
      <w:rPr/>
    </w:lvl>
    <w:lvl w:ilvl="7">
      <w:start w:val="1"/>
      <w:numFmt w:val="lowerLetter"/>
      <w:lvlText w:val="%8."/>
      <w:lvlJc w:val="left"/>
      <w:pPr>
        <w:tabs>
          <w:tab w:val="num" w:pos="0"/>
        </w:tabs>
        <w:ind w:left="6327" w:hanging="360"/>
      </w:pPr>
      <w:rPr/>
    </w:lvl>
    <w:lvl w:ilvl="8">
      <w:start w:val="1"/>
      <w:numFmt w:val="lowerRoman"/>
      <w:lvlText w:val="%9."/>
      <w:lvlJc w:val="right"/>
      <w:pPr>
        <w:tabs>
          <w:tab w:val="num" w:pos="0"/>
        </w:tabs>
        <w:ind w:left="7047" w:hanging="18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bg-B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bg-BG"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bg-BG"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33621"/>
    <w:rPr/>
  </w:style>
  <w:style w:type="character" w:styleId="FooterChar" w:customStyle="1">
    <w:name w:val="Footer Char"/>
    <w:basedOn w:val="DefaultParagraphFont"/>
    <w:link w:val="Footer"/>
    <w:uiPriority w:val="99"/>
    <w:qFormat/>
    <w:rsid w:val="00433621"/>
    <w:rPr/>
  </w:style>
  <w:style w:type="character" w:styleId="InternetLink">
    <w:name w:val="Hyperlink"/>
    <w:basedOn w:val="DefaultParagraphFont"/>
    <w:uiPriority w:val="99"/>
    <w:unhideWhenUsed/>
    <w:rsid w:val="00a32388"/>
    <w:rPr>
      <w:color w:val="0563C1" w:themeColor="hyperlink"/>
      <w:u w:val="single"/>
    </w:rPr>
  </w:style>
  <w:style w:type="character" w:styleId="UnresolvedMention">
    <w:name w:val="Unresolved Mention"/>
    <w:basedOn w:val="DefaultParagraphFont"/>
    <w:uiPriority w:val="99"/>
    <w:semiHidden/>
    <w:unhideWhenUsed/>
    <w:qFormat/>
    <w:rsid w:val="00a32388"/>
    <w:rPr>
      <w:color w:val="605E5C"/>
      <w:shd w:fill="E1DFDD" w:val="clear"/>
    </w:rPr>
  </w:style>
  <w:style w:type="character" w:styleId="NumberingSymbols">
    <w:name w:val="Numbering Symbols"/>
    <w:qFormat/>
    <w:rPr/>
  </w:style>
  <w:style w:type="character" w:styleId="FootnoteCharacters">
    <w:name w:val="Footnote Characters"/>
    <w:qFormat/>
    <w:rPr>
      <w:vertAlign w:val="superscript"/>
    </w:rPr>
  </w:style>
  <w:style w:type="character" w:styleId="FootnoteAnchor">
    <w:name w:val="Footnote Reference"/>
    <w:rPr>
      <w:vertAlign w:val="superscript"/>
    </w:rPr>
  </w:style>
  <w:style w:type="character" w:styleId="EndnoteCharacters">
    <w:name w:val="Endnote Characters"/>
    <w:qFormat/>
    <w:rPr>
      <w:vertAlign w:val="superscript"/>
    </w:rPr>
  </w:style>
  <w:style w:type="character" w:styleId="EndnoteAnchor">
    <w:name w:val="Endnote Reference"/>
    <w:rPr>
      <w:vertAlign w:val="superscrip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433621"/>
    <w:pPr>
      <w:tabs>
        <w:tab w:val="clear" w:pos="708"/>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433621"/>
    <w:pPr>
      <w:tabs>
        <w:tab w:val="clear" w:pos="708"/>
        <w:tab w:val="center" w:pos="4536" w:leader="none"/>
        <w:tab w:val="right" w:pos="9072" w:leader="none"/>
      </w:tabs>
      <w:spacing w:lineRule="auto" w:line="240" w:before="0" w:after="0"/>
    </w:pPr>
    <w:rPr/>
  </w:style>
  <w:style w:type="paragraph" w:styleId="ListParagraph">
    <w:name w:val="List Paragraph"/>
    <w:basedOn w:val="Normal"/>
    <w:uiPriority w:val="34"/>
    <w:qFormat/>
    <w:rsid w:val="003728b5"/>
    <w:pPr>
      <w:spacing w:before="0" w:after="160"/>
      <w:ind w:left="720" w:hanging="0"/>
      <w:contextualSpacing/>
    </w:pPr>
    <w:rPr/>
  </w:style>
  <w:style w:type="paragraph" w:styleId="TableContents">
    <w:name w:val="Table Contents"/>
    <w:basedOn w:val="Normal"/>
    <w:qFormat/>
    <w:pPr>
      <w:widowControl w:val="false"/>
      <w:suppressLineNumbers/>
    </w:pPr>
    <w:rPr/>
  </w:style>
  <w:style w:type="paragraph" w:styleId="H1">
    <w:name w:val="H1"/>
    <w:basedOn w:val="Normal"/>
    <w:qFormat/>
    <w:pPr>
      <w:spacing w:before="240" w:after="0"/>
    </w:pPr>
    <w:rPr>
      <w:rFonts w:ascii="Helvetica;Arial" w:hAnsi="Helvetica;Arial" w:cs="FormataOTF-Bold"/>
      <w:b/>
      <w:bCs/>
      <w:color w:val="00629B"/>
      <w:sz w:val="18"/>
      <w:szCs w:val="18"/>
    </w:rPr>
  </w:style>
  <w:style w:type="paragraph" w:styleId="H1NoSpace">
    <w:name w:val="H1_No Space"/>
    <w:basedOn w:val="H1"/>
    <w:qFormat/>
    <w:pPr>
      <w:spacing w:before="0" w:after="0"/>
    </w:pPr>
    <w:rPr/>
  </w:style>
  <w:style w:type="paragraph" w:styleId="Footnote">
    <w:name w:val="Footnote Text"/>
    <w:basedOn w:val="Normal"/>
    <w:pPr>
      <w:suppressLineNumbers/>
      <w:ind w:left="340" w:hanging="340"/>
    </w:pPr>
    <w:rPr>
      <w:sz w:val="20"/>
      <w:szCs w:val="20"/>
    </w:rPr>
  </w:style>
  <w:style w:type="paragraph" w:styleId="Endnote">
    <w:name w:val="Endnote Text"/>
    <w:basedOn w:val="Normal"/>
    <w:pPr>
      <w:suppressLineNumbers/>
      <w:ind w:left="340" w:hanging="34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image" Target="media/image1.png"/><Relationship Id="rId9" Type="http://schemas.openxmlformats.org/officeDocument/2006/relationships/hyperlink" Target="https://apastyle.apa.org/style-grammar-guidelines/references" TargetMode="External"/><Relationship Id="rId10" Type="http://schemas.openxmlformats.org/officeDocument/2006/relationships/footnotes" Target="footnote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88E40-3DDB-4023-B9DD-9769038E9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910</TotalTime>
  <Application>LibreOffice/7.4.7.2$Linux_X86_64 LibreOffice_project/40$Build-2</Application>
  <AppVersion>15.0000</AppVersion>
  <Pages>5</Pages>
  <Words>662</Words>
  <Characters>3900</Characters>
  <CharactersWithSpaces>4509</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2022-06-27T15:32:00Z</dcterms:created>
  <dc:creator>Test</dc:creator>
  <dc:description/>
  <dc:language>bg-BG</dc:language>
  <cp:lastModifiedBy/>
  <cp:lastPrinted>2022-07-03T01:12:00Z</cp:lastPrinted>
  <dcterms:modified xsi:type="dcterms:W3CDTF">2023-10-28T23:35:29Z</dcterms:modified>
  <cp:revision>86</cp:revision>
  <dc:subject/>
  <dc:title/>
</cp:coreProperties>
</file>

<file path=docProps/custom.xml><?xml version="1.0" encoding="utf-8"?>
<Properties xmlns="http://schemas.openxmlformats.org/officeDocument/2006/custom-properties" xmlns:vt="http://schemas.openxmlformats.org/officeDocument/2006/docPropsVTypes"/>
</file>