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bg-BG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bg-BG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5" w:right="1985" w:gutter="0" w:header="2438" w:top="4167" w:footer="2438" w:bottom="41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Free Assembly Languages for developing real-time operating system for embedded devices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Veselin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Stanchev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eastAsia="bg-BG"/>
        </w:rPr>
        <w:t>1</w:t>
      </w:r>
    </w:p>
    <w:p>
      <w:pPr>
        <w:pStyle w:val="Normal"/>
        <w:spacing w:lineRule="auto" w:line="240" w:before="0" w:after="0"/>
        <w:jc w:val="center"/>
        <w:rPr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eastAsia="bg-BG"/>
        </w:rPr>
        <w:t>1</w:t>
      </w:r>
      <w:r>
        <w:rPr>
          <w:position w:val="0"/>
          <w:sz w:val="22"/>
          <w:sz w:val="22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Technical University of Sofia - Plovdiv Branch</w:t>
      </w:r>
    </w:p>
    <w:p>
      <w:pPr>
        <w:pStyle w:val="Normal"/>
        <w:spacing w:lineRule="auto" w:line="240" w:before="0" w:after="0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 xml:space="preserve">Abstract: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Usage of assembly languages is most natural way to program embedded devices. There are different free assembly languages for instruction set architectures. For x86 architecture  Netwide assembler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or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Yarn assembler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can be used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. For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devices based on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RISC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instruction set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there are </w:t>
      </w:r>
      <w:bookmarkStart w:id="0" w:name="__DdeLink__111_1565232829"/>
      <w:bookmarkStart w:id="1" w:name="__DdeLink__108_1565232829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G</w:t>
      </w:r>
      <w:bookmarkEnd w:id="0"/>
      <w:bookmarkEnd w:id="1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NU assembler, AVR assembler.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For RISC-V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based devices can be used RISC-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V assembler.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Keywords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: risc-v assembly, avr assembly, operating system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ВЪВЕДЕНИЕ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Подготвените за отпечатване материали трябва да са в обем до 4 страници. Допускат се и по-обемни статии и доклади, като всяка допълнителна страница се заплаща отделно.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Основните параметри на всяка страница са: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Размер на страницата: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File, Page Setup, Paper Size – А4.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Размер на печатаемото поле: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14 см на 21 см: File, Page Setup, Margins: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в сантиметри: Top, Bottom – </w:t>
      </w:r>
      <w:bookmarkStart w:id="2" w:name="__DdeLink__90_1335179283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4.3 </w:t>
      </w:r>
      <w:bookmarkEnd w:id="2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cm; Left, Right – 3.5 cm;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в инчове: Top, Bottom – 1.69; Left, Right – 1.38.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Междуредово разстояние: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Format, Paragraph, Line spacing single.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Шрифт: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Times New Roman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Заглавие на доклада, автори, месторабота: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12, Bold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Abstract: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10, Bold.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Текст на доклада и резюмето: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10, Normal.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Фигурите, снимките и диаграмите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към доклада трябва да бъдат интегрирани в текста.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Бележки и забележки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се пишат под линия на съответната страница.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Цитираната литература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трябва да бъде разположена в края на статията, а в текста да се цитира в малки скоби, като се изписват името на автора и годината на издаване. Пример: (Ivanov, 2022).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При желание авторите могат да публикуват в края на статията информация за себе си и адрес за връзка и кореспонденция.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ИЗЛОЖЕНИЕ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Текст на изложението...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ЗАКЛЮЧЕНИЕ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Текст на заключението...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 xml:space="preserve">БЛАГОДАРНОСТИ: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Тук може да изразите благодарност на учени и спонсори, както и признателност за оказана финансова подкрепа....</w:t>
      </w: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 xml:space="preserve">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</w:r>
    </w:p>
    <w:p>
      <w:pPr>
        <w:pStyle w:val="ListParagraph"/>
        <w:spacing w:lineRule="auto" w:line="240" w:before="0" w:after="0"/>
        <w:ind w:hanging="360" w:left="927"/>
        <w:contextualSpacing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ЛИТЕРАТУРА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Използвайте APA стил за цитиране: </w:t>
      </w:r>
      <w:hyperlink r:id="rId8">
        <w:r>
          <w:rPr>
            <w:rStyle w:val="Hyperlink"/>
            <w:rFonts w:cs="Times New Roman" w:ascii="Times New Roman" w:hAnsi="Times New Roman"/>
            <w:sz w:val="20"/>
            <w:szCs w:val="20"/>
          </w:rPr>
          <w:t>https://apastyle.apa.org/style-grammar-guidelines/references</w:t>
        </w:r>
      </w:hyperlink>
      <w:r>
        <w:rPr>
          <w:rFonts w:cs="Times New Roman" w:ascii="Times New Roman" w:hAnsi="Times New Roman"/>
          <w:sz w:val="20"/>
          <w:szCs w:val="20"/>
        </w:rPr>
        <w:t>. Ето няколко примера съответно за книга, глава от книга, статия в печатно списание, статия в електронно списание и уебсайт: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Sapolsky, R. M.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(2017).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Behave: The biology of humans at our best and worst</w:t>
      </w:r>
      <w:r>
        <w:rPr>
          <w:rFonts w:cs="Times New Roman" w:ascii="Times New Roman" w:hAnsi="Times New Roman"/>
          <w:sz w:val="20"/>
          <w:szCs w:val="20"/>
          <w:lang w:val="en-US"/>
        </w:rPr>
        <w:t>. Penguin Books.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Dillard, J. P.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(2020).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Currents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in the study of persuasion. In M. B. Oliver, A. A. Raney, &amp; J. Bryant (Eds.),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Media effects: Advances in theory and research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(4th ed., pp. 115–129). Routledge.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Weinstein, J.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(2009). “The market in Plato’s Republic.”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Classical Philology</w:t>
      </w:r>
      <w:r>
        <w:rPr>
          <w:rFonts w:cs="Times New Roman" w:ascii="Times New Roman" w:hAnsi="Times New Roman"/>
          <w:sz w:val="20"/>
          <w:szCs w:val="20"/>
          <w:lang w:val="en-US"/>
        </w:rPr>
        <w:t>, 104(4), 439-458.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Grady, J. S., Her, M., Moreno, G., Perez, C., &amp; Yelinek, J.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(2019). Emotions in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storybooks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: A comparison of storybooks that represent ethnic and racial groups in the United States.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Psychology of Popular Media Culture</w:t>
      </w:r>
      <w:r>
        <w:rPr>
          <w:rFonts w:cs="Times New Roman" w:ascii="Times New Roman" w:hAnsi="Times New Roman"/>
          <w:sz w:val="20"/>
          <w:szCs w:val="20"/>
          <w:lang w:val="en-US"/>
        </w:rPr>
        <w:t>, 8(3), 207–217. https://doi.org/10.1037/ppm0000185</w:t>
      </w:r>
      <w:r>
        <w:rPr>
          <w:rFonts w:cs="Times New Roman" w:ascii="Times New Roman" w:hAnsi="Times New Roman"/>
          <w:sz w:val="20"/>
          <w:szCs w:val="20"/>
        </w:rPr>
        <w:t xml:space="preserve">. 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 xml:space="preserve">Bologna, C. 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(2019, October 31).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Why some people with anxiety love watching horror movies</w:t>
      </w:r>
      <w:r>
        <w:rPr>
          <w:rFonts w:cs="Times New Roman" w:ascii="Times New Roman" w:hAnsi="Times New Roman"/>
          <w:sz w:val="20"/>
          <w:szCs w:val="20"/>
          <w:lang w:val="en-US"/>
        </w:rPr>
        <w:t>. HuffPost. https://www.huffpost.com/entry/anxiety-love-watching-horror-movies_l_5d277587e4b0 2a5a5d57b59e.</w:t>
      </w:r>
    </w:p>
    <w:sectPr>
      <w:type w:val="continuous"/>
      <w:pgSz w:w="11906" w:h="16838"/>
      <w:pgMar w:left="1985" w:right="1985" w:gutter="0" w:header="2438" w:top="4167" w:footer="2438" w:bottom="416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36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3621"/>
    <w:rPr/>
  </w:style>
  <w:style w:type="character" w:styleId="Hyperlink">
    <w:name w:val="Hyperlink"/>
    <w:basedOn w:val="DefaultParagraphFont"/>
    <w:uiPriority w:val="99"/>
    <w:unhideWhenUsed/>
    <w:rsid w:val="00a3238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38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728b5"/>
    <w:pPr>
      <w:spacing w:before="0" w:after="160"/>
      <w:ind w:hanging="0"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apastyle.apa.org/style-grammar-guidelines/references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8E40-3DDB-4023-B9DD-9769038E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Application>LibreOffice/7.6.1.2$Windows_X86_64 LibreOffice_project/f5defcebd022c5bc36bbb79be232cb6926d8f674</Application>
  <AppVersion>15.0000</AppVersion>
  <Pages>4</Pages>
  <Words>532</Words>
  <Characters>3119</Characters>
  <CharactersWithSpaces>3613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2022-06-27T15:32:00Z</dcterms:created>
  <dc:creator>Test</dc:creator>
  <dc:description/>
  <dc:language>bg-BG</dc:language>
  <cp:lastModifiedBy/>
  <cp:lastPrinted>2022-07-03T01:12:00Z</cp:lastPrinted>
  <dcterms:modified xsi:type="dcterms:W3CDTF">2023-10-19T16:00:09Z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