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Free Assembly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Languages for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developing real-time operating system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  <w:r>
        <w:rPr>
          <w:position w:val="0"/>
          <w:sz w:val="22"/>
          <w:vertAlign w:val="baseline"/>
        </w:rPr>
        <w:t xml:space="preserve"> </w:t>
      </w:r>
      <w:r>
        <w:rPr>
          <w:rFonts w:ascii="Times New Roman" w:hAnsi="Times New Roman"/>
          <w:b/>
          <w:bCs/>
          <w:position w:val="0"/>
          <w:sz w:val="22"/>
          <w:vertAlign w:val="baseline"/>
          <w:lang w:val="en-US"/>
        </w:rPr>
        <w:t>Departament ICT ,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Abstract: Write your abstract here...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: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ВЪВЕДЕНИЕ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0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8">
        <w:r>
          <w:rPr>
            <w:rStyle w:val="Hyper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 xml:space="preserve"> </w:t>
    </w:r>
    <w:r>
      <w:rPr>
        <w:rFonts w:cs="Times New Roman" w:ascii="Times New Roman" w:hAnsi="Times New Roman"/>
        <w:b/>
        <w:bCs/>
        <w:sz w:val="24"/>
        <w:szCs w:val="24"/>
      </w:rPr>
      <w:t>Scientific researches of the Union of Scientists in Bulgaria-Plovdiv, series B. Natural Sciences and the Humanities,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 xml:space="preserve"> </w:t>
    </w:r>
    <w:r>
      <w:rPr>
        <w:rFonts w:cs="Times New Roman" w:ascii="Times New Roman" w:hAnsi="Times New Roman"/>
        <w:b/>
        <w:bCs/>
        <w:sz w:val="24"/>
        <w:szCs w:val="24"/>
      </w:rPr>
      <w:t>Scientific researches of the Union of Scientists in Bulgaria-Plovdiv, series B. Natural Sciences and the Humanities,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apastyle.apa.org/style-grammar-guidelines/referenc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LibreOffice/7.6.1.2$Windows_X86_64 LibreOffice_project/f5defcebd022c5bc36bbb79be232cb6926d8f674</Application>
  <AppVersion>15.0000</AppVersion>
  <Pages>2</Pages>
  <Words>441</Words>
  <Characters>2608</Characters>
  <CharactersWithSpaces>3014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2023-10-18T15:23:46Z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