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Reston Town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Discovery Street - Southwest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Reston, Virginia 20190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TERMINATION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29,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7862.4" w:type="dxa"/>
        <w:jc w:val="left"/>
        <w:tblInd w:w="0.0" w:type="pct"/>
        <w:tblLayout w:type="fixed"/>
        <w:tblLook w:val="0600"/>
      </w:tblPr>
      <w:tblGrid>
        <w:gridCol w:w="1078.2279369610374"/>
        <w:gridCol w:w="391.8207224842422"/>
        <w:gridCol w:w="6392.35134055472"/>
        <w:tblGridChange w:id="0">
          <w:tblGrid>
            <w:gridCol w:w="1078.2279369610374"/>
            <w:gridCol w:w="391.8207224842422"/>
            <w:gridCol w:w="6392.351340554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Reston Town Center Property LLC, a Delaware limited liability company, successor in interest to EOP-Reston Town Center, L.L.C.</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Tree International, Inc., a Delaware corporation, formerly a California corporation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entirety of the second (2</w:t>
            </w:r>
            <w:r w:rsidDel="00000000" w:rsidR="00000000" w:rsidRPr="00000000">
              <w:rPr>
                <w:rFonts w:ascii="times new roman" w:cs="times new roman" w:eastAsia="times new roman" w:hAnsi="times new roman"/>
                <w:sz w:val="16"/>
                <w:szCs w:val="16"/>
                <w:vertAlign w:val="baseline"/>
                <w:rtl w:val="0"/>
              </w:rPr>
              <w:t xml:space="preserve">nd</w:t>
            </w:r>
            <w:r w:rsidDel="00000000" w:rsidR="00000000" w:rsidRPr="00000000">
              <w:rPr>
                <w:rFonts w:ascii="times new roman" w:cs="times new roman" w:eastAsia="times new roman" w:hAnsi="times new roman"/>
                <w:sz w:val="20"/>
                <w:szCs w:val="20"/>
                <w:rtl w:val="0"/>
              </w:rPr>
              <w:t xml:space="preserve">) and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floors of the Building, containing approximately 44,488 rentable square feet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LEASE: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28, 1990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30, 2011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Amendment to Lease dated November 2, 1992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Amendment to Lease dated March 21, 1994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Amendment to Lease dated May 11, 1994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Amendment to Lease dated January 13, 1995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Amendment to Lease dated October 9, 1996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Sixth Amendment dated February 7, 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Seventh Amendment dated October 4, 2000 (the “</w:t>
            </w:r>
            <w:r w:rsidDel="00000000" w:rsidR="00000000" w:rsidRPr="00000000">
              <w:rPr>
                <w:rFonts w:ascii="times new roman" w:cs="times new roman" w:eastAsia="times new roman" w:hAnsi="times new roman"/>
                <w:sz w:val="20"/>
                <w:szCs w:val="20"/>
                <w:u w:val="single"/>
                <w:rtl w:val="0"/>
              </w:rPr>
              <w:t xml:space="preserve">Seventh Amendment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Lease and the Previous Lease Amendments are collectively referred to as the “</w:t>
            </w:r>
            <w:r w:rsidDel="00000000" w:rsidR="00000000" w:rsidRPr="00000000">
              <w:rPr>
                <w:rFonts w:ascii="times new roman" w:cs="times new roman" w:eastAsia="times new roman" w:hAnsi="times new roman"/>
                <w:sz w:val="20"/>
                <w:szCs w:val="20"/>
                <w:u w:val="single"/>
                <w:rtl w:val="0"/>
              </w:rPr>
              <w:t xml:space="preserve">Existing Lease</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is made to the fact that Tenant is negotiating with Landlord to enter a new lease for the Premises in the Building (the “</w:t>
      </w:r>
      <w:r w:rsidDel="00000000" w:rsidR="00000000" w:rsidRPr="00000000">
        <w:rPr>
          <w:rFonts w:ascii="times new roman" w:cs="times new roman" w:eastAsia="times new roman" w:hAnsi="times new roman"/>
          <w:sz w:val="20"/>
          <w:szCs w:val="20"/>
          <w:u w:val="single"/>
          <w:rtl w:val="0"/>
        </w:rPr>
        <w:t xml:space="preserve">New Lease</w:t>
      </w:r>
      <w:r w:rsidDel="00000000" w:rsidR="00000000" w:rsidRPr="00000000">
        <w:rPr>
          <w:rFonts w:ascii="times new roman" w:cs="times new roman" w:eastAsia="times new roman" w:hAnsi="times new roman"/>
          <w:sz w:val="20"/>
          <w:szCs w:val="20"/>
          <w:rtl w:val="0"/>
        </w:rPr>
        <w:t xml:space="preserve">”), the term of which New Lease commences as of January 1, 2010 (“</w:t>
      </w:r>
      <w:r w:rsidDel="00000000" w:rsidR="00000000" w:rsidRPr="00000000">
        <w:rPr>
          <w:rFonts w:ascii="times new roman" w:cs="times new roman" w:eastAsia="times new roman" w:hAnsi="times new roman"/>
          <w:sz w:val="20"/>
          <w:szCs w:val="20"/>
          <w:u w:val="single"/>
          <w:rtl w:val="0"/>
        </w:rPr>
        <w:t xml:space="preserve">New Lease Commencement Date</w:t>
      </w:r>
      <w:r w:rsidDel="00000000" w:rsidR="00000000" w:rsidRPr="00000000">
        <w:rPr>
          <w:rFonts w:ascii="times new roman" w:cs="times new roman" w:eastAsia="times new roman" w:hAnsi="times new roman"/>
          <w:sz w:val="20"/>
          <w:szCs w:val="20"/>
          <w:rtl w:val="0"/>
        </w:rPr>
        <w:t xml:space="preserve">”). In consideration of the agreements contained in the New Lease, the parties desire to terminate the Lease Term of the Existing Lease prior to April 30,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NOW THEREFORE, the parties hereby agree that the Existing Lease is hereby further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TERMINATION OF LEASE TERM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Lease Term of the Existing Lease shall terminate effective as of December 31, 2009 (“</w:t>
      </w:r>
      <w:r w:rsidDel="00000000" w:rsidR="00000000" w:rsidRPr="00000000">
        <w:rPr>
          <w:rFonts w:ascii="times new roman" w:cs="times new roman" w:eastAsia="times new roman" w:hAnsi="times new roman"/>
          <w:sz w:val="20"/>
          <w:szCs w:val="20"/>
          <w:u w:val="single"/>
          <w:rtl w:val="0"/>
        </w:rPr>
        <w:t xml:space="preserve">Effective Termination Date</w:t>
      </w:r>
      <w:r w:rsidDel="00000000" w:rsidR="00000000" w:rsidRPr="00000000">
        <w:rPr>
          <w:rFonts w:ascii="times new roman" w:cs="times new roman" w:eastAsia="times new roman" w:hAnsi="times new roman"/>
          <w:sz w:val="20"/>
          <w:szCs w:val="20"/>
          <w:rtl w:val="0"/>
        </w:rPr>
        <w:t xml:space="preserve">”). Whereas Tenant is in occupancy of the Premises, Tenant shall remain in the Premises after the Effective Termination Date, in accordance with and pursuant to the terms and conditions set forth in the New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OPERATING CHARGES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 acknowledges that Tenant’s payments on account of Operating Charges in respect of the Existing Lease through the Effective Termination Date shall have been based upon estimated amounts of Operating Charges in respect of the Existing Lease for calendar year 2009. At the time that the actual amount of Operating Charges in respect of the Existing Lease for calendar year 2009 are determined, Tenant shall promptly pay any underpayment of Operating Charges in respect to the Existing Lease to Landlord, or Landlord shall promptly apply any overpayment of Operating Charges in respect of the Existing Lease to the next installment(s) of yearly Rent under the New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NOTICES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the Existing Lease, the notice addresses for Landlord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Reston Town Center Property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Beacon Capital Partners,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 State Street,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Boston, Massachusetts 02109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Goulston &amp; Storrs,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 Atlantic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Boston, Massachusetts 02110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Market Square – Reston Town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CONDITION OF LANDLORD’S EXECUTION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hereby acknowledge that Landlord is only willing to execute this Termination Agreement in the event that Tenant executes and delivers the New Lease to Landlord. Therefore, Landlord shall have the right, exercisable upon written notice to Tenant, to render this Termination Agreement void and without further force or effect, unless Tenant executes and delivers to Landlord the New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EXECUTED UNDER SEAL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LANDLORD:</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RESTON TOWN CENTER PROPERTY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limited liability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Jeffrey L. Kovach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Jeffrey L. Kovach</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Senior Vice President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3744.0" w:type="dxa"/>
        <w:jc w:val="left"/>
        <w:tblInd w:w="0.0" w:type="pct"/>
        <w:tblLayout w:type="fixed"/>
        <w:tblLook w:val="0600"/>
      </w:tblPr>
      <w:tblGrid>
        <w:gridCol w:w="443.74846099898707"/>
        <w:gridCol w:w="364.68479700771445"/>
        <w:gridCol w:w="2935.5667419932984"/>
        <w:tblGridChange w:id="0">
          <w:tblGrid>
            <w:gridCol w:w="443.74846099898707"/>
            <w:gridCol w:w="364.68479700771445"/>
            <w:gridCol w:w="2935.566741993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Signed: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TREE INTERNATIONAL,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8"/>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Nicholas Schacht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9"/>
        <w:tblW w:w="3744.0000000000005" w:type="dxa"/>
        <w:jc w:val="left"/>
        <w:tblInd w:w="0.0" w:type="pct"/>
        <w:tblLayout w:type="fixed"/>
        <w:tblLook w:val="0600"/>
      </w:tblPr>
      <w:tblGrid>
        <w:gridCol w:w="355.974747090591"/>
        <w:gridCol w:w="355.974747090591"/>
        <w:gridCol w:w="3032.0505058188182"/>
        <w:tblGridChange w:id="0">
          <w:tblGrid>
            <w:gridCol w:w="355.974747090591"/>
            <w:gridCol w:w="355.974747090591"/>
            <w:gridCol w:w="3032.05050581881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Nicholas Schacht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0"/>
        <w:tblW w:w="3744.0" w:type="dxa"/>
        <w:jc w:val="left"/>
        <w:tblInd w:w="0.0" w:type="pct"/>
        <w:tblLayout w:type="fixed"/>
        <w:tblLook w:val="0600"/>
      </w:tblPr>
      <w:tblGrid>
        <w:gridCol w:w="349.7496450190568"/>
        <w:gridCol w:w="349.7496450190568"/>
        <w:gridCol w:w="3044.500709961886"/>
        <w:tblGridChange w:id="0">
          <w:tblGrid>
            <w:gridCol w:w="349.7496450190568"/>
            <w:gridCol w:w="349.7496450190568"/>
            <w:gridCol w:w="3044.5007099618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Hereunto Duly Authorized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3744.0" w:type="dxa"/>
        <w:jc w:val="left"/>
        <w:tblInd w:w="0.0" w:type="pct"/>
        <w:tblLayout w:type="fixed"/>
        <w:tblLook w:val="0600"/>
      </w:tblPr>
      <w:tblGrid>
        <w:gridCol w:w="443.74846099898707"/>
        <w:gridCol w:w="364.68479700771445"/>
        <w:gridCol w:w="2935.5667419932984"/>
        <w:tblGridChange w:id="0">
          <w:tblGrid>
            <w:gridCol w:w="443.74846099898707"/>
            <w:gridCol w:w="364.68479700771445"/>
            <w:gridCol w:w="2935.5667419932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Signed: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12/24/09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