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Exhibit 10.12</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Zhejiang Guangsha Stock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Zhejiang Guangsha Hydropower Investment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Hydroelectric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Matter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Zhejiang Jingning Yingchuan Hydropower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Equity Interest Transfer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December 13,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One Definitions of the Contract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Two Transfer Object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Three Purchase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Four Capital 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Five Authorization Approval and Handover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Six Assumption of Credits and Debts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Seven Rights and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Eight: Fulfillment and Unilateral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Nine Representations And Warranties By The 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Ten Employees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Eleven Confidentiality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Twelve Breach Of Contract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Thirteen Force Majeure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Fourteen Resolution of Disputes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Fifteen Applicable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Sixteen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Equity Interest Transfer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equity interest transfer contract (hereinafter referred to as “</w:t>
      </w:r>
      <w:r w:rsidDel="00000000" w:rsidR="00000000" w:rsidRPr="00000000">
        <w:rPr>
          <w:rFonts w:ascii="Times New Roman" w:cs="Times New Roman" w:eastAsia="Times New Roman" w:hAnsi="Times New Roman"/>
          <w:b w:val="1"/>
          <w:sz w:val="20"/>
          <w:szCs w:val="20"/>
          <w:rtl w:val="0"/>
        </w:rPr>
        <w:t xml:space="preserve">Contract</w:t>
      </w:r>
      <w:r w:rsidDel="00000000" w:rsidR="00000000" w:rsidRPr="00000000">
        <w:rPr>
          <w:rFonts w:ascii="Times New Roman" w:cs="Times New Roman" w:eastAsia="Times New Roman" w:hAnsi="Times New Roman"/>
          <w:sz w:val="20"/>
          <w:szCs w:val="20"/>
          <w:rtl w:val="0"/>
        </w:rPr>
        <w:t xml:space="preserve">”) is made and entered into on December 13, 2007 at Hangzhou City, Zhejiang Province of P. R. China 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Party A: China Hydroelectric Co., Ltd </w:t>
      </w:r>
      <w:r w:rsidDel="00000000" w:rsidR="00000000" w:rsidRPr="00000000">
        <w:rPr>
          <w:rFonts w:ascii="Times New Roman" w:cs="Times New Roman" w:eastAsia="Times New Roman" w:hAnsi="Times New Roman"/>
          <w:sz w:val="20"/>
          <w:szCs w:val="20"/>
          <w:rtl w:val="0"/>
        </w:rPr>
        <w:t xml:space="preserve">(hereinafter referred to as “</w:t>
      </w:r>
      <w:r w:rsidDel="00000000" w:rsidR="00000000" w:rsidRPr="00000000">
        <w:rPr>
          <w:rFonts w:ascii="Times New Roman" w:cs="Times New Roman" w:eastAsia="Times New Roman" w:hAnsi="Times New Roman"/>
          <w:b w:val="1"/>
          <w:sz w:val="20"/>
          <w:szCs w:val="20"/>
          <w:rtl w:val="0"/>
        </w:rPr>
        <w:t xml:space="preserve">Transferee</w:t>
      </w:r>
      <w:r w:rsidDel="00000000" w:rsidR="00000000" w:rsidRPr="00000000">
        <w:rPr>
          <w:rFonts w:ascii="Times New Roman" w:cs="Times New Roman" w:eastAsia="Times New Roman" w:hAnsi="Times New Roman"/>
          <w:sz w:val="20"/>
          <w:szCs w:val="20"/>
          <w:rtl w:val="0"/>
        </w:rPr>
        <w:t xml:space="preserve">”), a company registered and established under the laws of Cayman Islands, registered address at 558 Lime Rock Road, Lime Rock, Connecticut 06039, authorized representative John D. Kuhns, and president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Party B: Zhejiang Guangsha Stock Co., Ltd, </w:t>
      </w:r>
      <w:r w:rsidDel="00000000" w:rsidR="00000000" w:rsidRPr="00000000">
        <w:rPr>
          <w:rFonts w:ascii="Times New Roman" w:cs="Times New Roman" w:eastAsia="Times New Roman" w:hAnsi="Times New Roman"/>
          <w:sz w:val="20"/>
          <w:szCs w:val="20"/>
          <w:rtl w:val="0"/>
        </w:rPr>
        <w:t xml:space="preserve">a company registered and established under the laws of People’s Republic of China, registered address at 21 Wuningxilu, Dongyang City, Zhejiang Province, legal representative and chairman of the board of directors Lou Jiangyue.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Party C: Zhejiang Guangsha Hydropower Investment Co., Ltd, </w:t>
      </w:r>
      <w:r w:rsidDel="00000000" w:rsidR="00000000" w:rsidRPr="00000000">
        <w:rPr>
          <w:rFonts w:ascii="Times New Roman" w:cs="Times New Roman" w:eastAsia="Times New Roman" w:hAnsi="Times New Roman"/>
          <w:sz w:val="20"/>
          <w:szCs w:val="20"/>
          <w:rtl w:val="0"/>
        </w:rPr>
        <w:t xml:space="preserve">a company registered and established under the laws of People’s Republic of China, registered address at 1571 Liqinglu, Lishui City, Zhejiang Province, legal representative and chairman of the board of directors Lu Chunliang.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and Party C are hereinafter collectively referred to as “</w:t>
      </w:r>
      <w:r w:rsidDel="00000000" w:rsidR="00000000" w:rsidRPr="00000000">
        <w:rPr>
          <w:rFonts w:ascii="Times New Roman" w:cs="Times New Roman" w:eastAsia="Times New Roman" w:hAnsi="Times New Roman"/>
          <w:b w:val="1"/>
          <w:sz w:val="20"/>
          <w:szCs w:val="20"/>
          <w:rtl w:val="0"/>
        </w:rPr>
        <w:t xml:space="preserve">Transferors</w:t>
      </w:r>
      <w:r w:rsidDel="00000000" w:rsidR="00000000" w:rsidRPr="00000000">
        <w:rPr>
          <w:rFonts w:ascii="Times New Roman" w:cs="Times New Roman" w:eastAsia="Times New Roman" w:hAnsi="Times New Roman"/>
          <w:sz w:val="20"/>
          <w:szCs w:val="20"/>
          <w:rtl w:val="0"/>
        </w:rPr>
        <w:t xml:space="preserve">”. Each of them is referred to as “</w:t>
      </w:r>
      <w:r w:rsidDel="00000000" w:rsidR="00000000" w:rsidRPr="00000000">
        <w:rPr>
          <w:rFonts w:ascii="Times New Roman" w:cs="Times New Roman" w:eastAsia="Times New Roman" w:hAnsi="Times New Roman"/>
          <w:b w:val="1"/>
          <w:sz w:val="20"/>
          <w:szCs w:val="20"/>
          <w:rtl w:val="0"/>
        </w:rPr>
        <w:t xml:space="preserve">Each Transferor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(hereinafter referred to as “</w:t>
      </w:r>
      <w:r w:rsidDel="00000000" w:rsidR="00000000" w:rsidRPr="00000000">
        <w:rPr>
          <w:rFonts w:ascii="Times New Roman" w:cs="Times New Roman" w:eastAsia="Times New Roman" w:hAnsi="Times New Roman"/>
          <w:b w:val="1"/>
          <w:sz w:val="20"/>
          <w:szCs w:val="20"/>
          <w:rtl w:val="0"/>
        </w:rPr>
        <w:t xml:space="preserve">Object Company</w:t>
      </w:r>
      <w:r w:rsidDel="00000000" w:rsidR="00000000" w:rsidRPr="00000000">
        <w:rPr>
          <w:rFonts w:ascii="Times New Roman" w:cs="Times New Roman" w:eastAsia="Times New Roman" w:hAnsi="Times New Roman"/>
          <w:sz w:val="20"/>
          <w:szCs w:val="20"/>
          <w:rtl w:val="0"/>
        </w:rPr>
        <w:t xml:space="preserve">”), was established on August 26, 1998. Its business period is 30 years, and the registered capital is RMB 140,470,000. The Object Company owns the Hydropower Project (hereinafter defined) whose total installation is two power units of 20,000 KW and total installed capacity is 40,000 KW. The Hydropower Project commenced operations in May,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 Company has legal ownership and operational right of the Hydropower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contributed RMB 119,400,000 to the registered capital of the Object Company, accounting for 85% of its total equity interest; Party C contributed RMB 21,070,000 to the registered capital of the Object Company, accounting for 15% of its total equity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Transferor will transfer to the Transferee, and the Transferee will purchase the Transferors’ total equity interest in the Object Company (Party B’s interest: 85%, Party C’s interest; 15%, Party B’s and Party C’s interest will be collectively referred to as “Object Equity Interest”). Upon the Transferee’s acquisition of such equity interest, the Object Company shall become a wholly foreign-owned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Transferors, the Transferee and Mr. Lu Chunliang executed the Framework Agreement on October 27</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above purpose, after friendly consultations on the principles of equality and mutual benefit, the parties to this Contract have reached the following terms and conditions in accordance with </w:t>
      </w:r>
      <w:r w:rsidDel="00000000" w:rsidR="00000000" w:rsidRPr="00000000">
        <w:rPr>
          <w:rFonts w:ascii="Times New Roman" w:cs="Times New Roman" w:eastAsia="Times New Roman" w:hAnsi="Times New Roman"/>
          <w:i w:val="1"/>
          <w:sz w:val="20"/>
          <w:szCs w:val="20"/>
          <w:rtl w:val="0"/>
        </w:rPr>
        <w:t xml:space="preserve">the Corporate Law of the People’s Republic of China, the Contract Law of the People’s Republic of China, the Law of the People’s Republic of China on Wholly Foreign-owned Enterprises, </w:t>
      </w:r>
      <w:r w:rsidDel="00000000" w:rsidR="00000000" w:rsidRPr="00000000">
        <w:rPr>
          <w:rFonts w:ascii="Times New Roman" w:cs="Times New Roman" w:eastAsia="Times New Roman" w:hAnsi="Times New Roman"/>
          <w:sz w:val="20"/>
          <w:szCs w:val="20"/>
          <w:rtl w:val="0"/>
        </w:rPr>
        <w:t xml:space="preserve">and other applicable Chinese laws and regulations. The parties will abide by and fulfill the Contract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One Definitions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terms hereinafter used in this Contract shall have the meanings set forth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AIC</w:t>
      </w:r>
      <w:r w:rsidDel="00000000" w:rsidR="00000000" w:rsidRPr="00000000">
        <w:rPr>
          <w:rFonts w:ascii="Times New Roman" w:cs="Times New Roman" w:eastAsia="Times New Roman" w:hAnsi="Times New Roman"/>
          <w:sz w:val="20"/>
          <w:szCs w:val="20"/>
          <w:rtl w:val="0"/>
        </w:rPr>
        <w:t xml:space="preserve">” means the authorities of industry and commerce of the PRC or, with respect to the issuance of any business licenses, filings or registrations effected by or with the State Administration of Industry and Commerce or any government entity which is similarly competent to issue such business licenses or accept such filings or registrations under the laws of the PRC.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Audited Balance Sheet</w:t>
      </w:r>
      <w:r w:rsidDel="00000000" w:rsidR="00000000" w:rsidRPr="00000000">
        <w:rPr>
          <w:rFonts w:ascii="Times New Roman" w:cs="Times New Roman" w:eastAsia="Times New Roman" w:hAnsi="Times New Roman"/>
          <w:sz w:val="20"/>
          <w:szCs w:val="20"/>
          <w:rtl w:val="0"/>
        </w:rPr>
        <w:t xml:space="preserve">” shall mean the balance sheet audited by Beijing Jingdu CPA Limited, a copy of which is attached hereto as Appendix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Base Date</w:t>
      </w:r>
      <w:r w:rsidDel="00000000" w:rsidR="00000000" w:rsidRPr="00000000">
        <w:rPr>
          <w:rFonts w:ascii="Times New Roman" w:cs="Times New Roman" w:eastAsia="Times New Roman" w:hAnsi="Times New Roman"/>
          <w:sz w:val="20"/>
          <w:szCs w:val="20"/>
          <w:rtl w:val="0"/>
        </w:rPr>
        <w:t xml:space="preserve">” shall mean September 30,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Capital Increase</w:t>
      </w:r>
      <w:r w:rsidDel="00000000" w:rsidR="00000000" w:rsidRPr="00000000">
        <w:rPr>
          <w:rFonts w:ascii="Times New Roman" w:cs="Times New Roman" w:eastAsia="Times New Roman" w:hAnsi="Times New Roman"/>
          <w:sz w:val="20"/>
          <w:szCs w:val="20"/>
          <w:rtl w:val="0"/>
        </w:rPr>
        <w:t xml:space="preserve">” shall mean the newly registered capital increase and investment in the Object Company by the Transferee in the amount of RMB 12593,011 upon the Transferee’s acceptance of the Object Equity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Claims</w:t>
      </w:r>
      <w:r w:rsidDel="00000000" w:rsidR="00000000" w:rsidRPr="00000000">
        <w:rPr>
          <w:rFonts w:ascii="Times New Roman" w:cs="Times New Roman" w:eastAsia="Times New Roman" w:hAnsi="Times New Roman"/>
          <w:sz w:val="20"/>
          <w:szCs w:val="20"/>
          <w:rtl w:val="0"/>
        </w:rPr>
        <w:t xml:space="preserve">” shall mean claims (arbitration or litigation), actions, demands, proceedings, judgment liabilities, damages, costs and expenses (including legal costs and disbursements) howsoever arising.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Delivery Date</w:t>
      </w:r>
      <w:r w:rsidDel="00000000" w:rsidR="00000000" w:rsidRPr="00000000">
        <w:rPr>
          <w:rFonts w:ascii="Times New Roman" w:cs="Times New Roman" w:eastAsia="Times New Roman" w:hAnsi="Times New Roman"/>
          <w:sz w:val="20"/>
          <w:szCs w:val="20"/>
          <w:rtl w:val="0"/>
        </w:rPr>
        <w:t xml:space="preserve">” shall mean the date on which the Object Equity Interest Transfer has undergone the formality of registering the amendments with the Administration of Industry and the Commerce (the “</w:t>
      </w:r>
      <w:r w:rsidDel="00000000" w:rsidR="00000000" w:rsidRPr="00000000">
        <w:rPr>
          <w:rFonts w:ascii="Times New Roman" w:cs="Times New Roman" w:eastAsia="Times New Roman" w:hAnsi="Times New Roman"/>
          <w:b w:val="1"/>
          <w:sz w:val="20"/>
          <w:szCs w:val="20"/>
          <w:rtl w:val="0"/>
        </w:rPr>
        <w:t xml:space="preserve">AIC</w:t>
      </w:r>
      <w:r w:rsidDel="00000000" w:rsidR="00000000" w:rsidRPr="00000000">
        <w:rPr>
          <w:rFonts w:ascii="Times New Roman" w:cs="Times New Roman" w:eastAsia="Times New Roman" w:hAnsi="Times New Roman"/>
          <w:sz w:val="20"/>
          <w:szCs w:val="20"/>
          <w:rtl w:val="0"/>
        </w:rPr>
        <w:t xml:space="preserve">”) which has issued the New Business License to the Object Company upon examination and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Damages</w:t>
      </w:r>
      <w:r w:rsidDel="00000000" w:rsidR="00000000" w:rsidRPr="00000000">
        <w:rPr>
          <w:rFonts w:ascii="Times New Roman" w:cs="Times New Roman" w:eastAsia="Times New Roman" w:hAnsi="Times New Roman"/>
          <w:sz w:val="20"/>
          <w:szCs w:val="20"/>
          <w:rtl w:val="0"/>
        </w:rPr>
        <w:t xml:space="preserve">” shall mean any and all damages caused by direct losses and liabilities, losses caused by obligations, shared expenses, or judgments, awards and fines (including, without limitation, those arising out of any pending or threatened action, suit, proceeding or judgment, as well as any settlement fees), any related reasonable out-of-pocket costs and expenses (including, without limitation, reasonable attorneys’, consultants’ and experts’ fees and expenses), and consequential damages that include, but are not limited to loss of profit or any value reductions due to lost earnings, shall be excluded to the extent permitted by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Disclosed Information</w:t>
      </w:r>
      <w:r w:rsidDel="00000000" w:rsidR="00000000" w:rsidRPr="00000000">
        <w:rPr>
          <w:rFonts w:ascii="Times New Roman" w:cs="Times New Roman" w:eastAsia="Times New Roman" w:hAnsi="Times New Roman"/>
          <w:sz w:val="20"/>
          <w:szCs w:val="20"/>
          <w:rtl w:val="0"/>
        </w:rPr>
        <w:t xml:space="preserve">” shall mean the related materials, explanation statement and other information disclosed and made by the Transferors to the Transferee and its retained intermediaries in accordance with the Framework Agreement in the course of the due diligence investigation of the Object Company, fee Hydropower Project and the Object Equity Interest, attached hereto as Appendix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Employees</w:t>
      </w:r>
      <w:r w:rsidDel="00000000" w:rsidR="00000000" w:rsidRPr="00000000">
        <w:rPr>
          <w:rFonts w:ascii="Times New Roman" w:cs="Times New Roman" w:eastAsia="Times New Roman" w:hAnsi="Times New Roman"/>
          <w:sz w:val="20"/>
          <w:szCs w:val="20"/>
          <w:rtl w:val="0"/>
        </w:rPr>
        <w:t xml:space="preserve">” shall mean all personnel who have either a labor or an actual or deemed employment relationship with the Object Company or who were appointed by the Transferors to work in the Object Company or who work in the Object Company based on some other form of employment relationship as of the Base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Encumbrance</w:t>
      </w:r>
      <w:r w:rsidDel="00000000" w:rsidR="00000000" w:rsidRPr="00000000">
        <w:rPr>
          <w:rFonts w:ascii="Times New Roman" w:cs="Times New Roman" w:eastAsia="Times New Roman" w:hAnsi="Times New Roman"/>
          <w:sz w:val="20"/>
          <w:szCs w:val="20"/>
          <w:rtl w:val="0"/>
        </w:rPr>
        <w:t xml:space="preserve">” shall mean any mortgage, assignment, lien, charge, pledge, title retention, right to acquire, security interest, option, trust interest, pre-emptive right, and any other restrictions caused by other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Equity Interest Transfer</w:t>
      </w:r>
      <w:r w:rsidDel="00000000" w:rsidR="00000000" w:rsidRPr="00000000">
        <w:rPr>
          <w:rFonts w:ascii="Times New Roman" w:cs="Times New Roman" w:eastAsia="Times New Roman" w:hAnsi="Times New Roman"/>
          <w:sz w:val="20"/>
          <w:szCs w:val="20"/>
          <w:rtl w:val="0"/>
        </w:rPr>
        <w:t xml:space="preserve">” shall mean the transfer of all of the Object Equity Interest of the Object Company by the Transferors to the Transferees as contemplated in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Examination and Approval Authority</w:t>
      </w:r>
      <w:r w:rsidDel="00000000" w:rsidR="00000000" w:rsidRPr="00000000">
        <w:rPr>
          <w:rFonts w:ascii="Times New Roman" w:cs="Times New Roman" w:eastAsia="Times New Roman" w:hAnsi="Times New Roman"/>
          <w:sz w:val="20"/>
          <w:szCs w:val="20"/>
          <w:rtl w:val="0"/>
        </w:rPr>
        <w:t xml:space="preserve">” shall mean the relevant Chinese governmental departments having authority defined by relevant Chinese regulations on examining and approving foreign investment projects to examine and approve this Contract and to grant approval for the transfer of the Object Equity Interest and the Capital Increase contemplated in this Contract, including without limitation, the MOC, NDRC, SAFE, AIC and (CSRC,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Execution Date</w:t>
      </w:r>
      <w:r w:rsidDel="00000000" w:rsidR="00000000" w:rsidRPr="00000000">
        <w:rPr>
          <w:rFonts w:ascii="Times New Roman" w:cs="Times New Roman" w:eastAsia="Times New Roman" w:hAnsi="Times New Roman"/>
          <w:sz w:val="20"/>
          <w:szCs w:val="20"/>
          <w:rtl w:val="0"/>
        </w:rPr>
        <w:t xml:space="preserve">” shall mean the date this Contract is signed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Force Majeure</w:t>
      </w:r>
      <w:r w:rsidDel="00000000" w:rsidR="00000000" w:rsidRPr="00000000">
        <w:rPr>
          <w:rFonts w:ascii="Times New Roman" w:cs="Times New Roman" w:eastAsia="Times New Roman" w:hAnsi="Times New Roman"/>
          <w:sz w:val="20"/>
          <w:szCs w:val="20"/>
          <w:rtl w:val="0"/>
        </w:rPr>
        <w:t xml:space="preserve">” shall bear the meaning ascribed thereto in Article 47.1.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Foreign Exchange Capital Account</w:t>
      </w:r>
      <w:r w:rsidDel="00000000" w:rsidR="00000000" w:rsidRPr="00000000">
        <w:rPr>
          <w:rFonts w:ascii="Times New Roman" w:cs="Times New Roman" w:eastAsia="Times New Roman" w:hAnsi="Times New Roman"/>
          <w:sz w:val="20"/>
          <w:szCs w:val="20"/>
          <w:rtl w:val="0"/>
        </w:rPr>
        <w:t xml:space="preserve">” shall bear the meaning as ascribed thereto in Article 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Framework Agreement</w:t>
      </w:r>
      <w:r w:rsidDel="00000000" w:rsidR="00000000" w:rsidRPr="00000000">
        <w:rPr>
          <w:rFonts w:ascii="Times New Roman" w:cs="Times New Roman" w:eastAsia="Times New Roman" w:hAnsi="Times New Roman"/>
          <w:sz w:val="20"/>
          <w:szCs w:val="20"/>
          <w:rtl w:val="0"/>
        </w:rPr>
        <w:t xml:space="preserve">” shall mean the Framework Agreement of Zhejiang Jingning Yingchuan Hydropower Development Co., Ltd, Qingtian Wuliting Hydropower Development Co., Ltd, Suichang County Jiulongshan Hydropower Development Co., Ltd and Zhejiang Guangsha Beichuan Hydropower Development Co., Ltd executed by Transferee, Zhejiang Guangsha Stock Co., Ltd, Zhejiang Guangsha Hydropower Investment Co., Ltd and Party C on October 27,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Hydropower Project</w:t>
      </w:r>
      <w:r w:rsidDel="00000000" w:rsidR="00000000" w:rsidRPr="00000000">
        <w:rPr>
          <w:rFonts w:ascii="Times New Roman" w:cs="Times New Roman" w:eastAsia="Times New Roman" w:hAnsi="Times New Roman"/>
          <w:sz w:val="20"/>
          <w:szCs w:val="20"/>
          <w:rtl w:val="0"/>
        </w:rPr>
        <w:t xml:space="preserve">” shall mean the hydropower station project located in Yingchuan, legally owned and operated by the Object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Material Agreements</w:t>
      </w:r>
      <w:r w:rsidDel="00000000" w:rsidR="00000000" w:rsidRPr="00000000">
        <w:rPr>
          <w:rFonts w:ascii="Times New Roman" w:cs="Times New Roman" w:eastAsia="Times New Roman" w:hAnsi="Times New Roman"/>
          <w:sz w:val="20"/>
          <w:szCs w:val="20"/>
          <w:rtl w:val="0"/>
        </w:rPr>
        <w:t xml:space="preserve">” includes any oral or written agreement, arrangement, or understanding outside the ordinary course of business, including any (a) consulting agreement not terminable on notice within thirty (30) days, (b) agreement with respect to any employee of the Object Company providing any term of employment or compensation guarantee, (c) agreement on change in control or any other agreement with any executive officer or other key employees of the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of which the benefits are contingent, or the terms of which are materially altered, upon the occurrence of a transaction involving the Object Company of the nature contemplated by the Contract, (d) agreement or plan, including any stock option plan, stock appreciation rights plan, restricted stock plan or stock purchase plan, of which any of the benefits will be increased, or the vesting of benefits of which will be accelerated, by the occurrence of any of the transactions contemplated by the Contract or the value of any of the benefits of which will be calculated on the basis of any of the transactions contemplated by the Contract, (e) agreement containing covenants that limit the ability of the Object Company to compete in any line of business or with any person, or that involve any restriction on the geographic area in which, or method by which, the Object Company may carry on its business (other than as may be required by law) or exclusive dealings of contracts that limit the ability of the Object Company to contract certain persons or to engage, whether directly or indirectly, in certain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MOC</w:t>
      </w:r>
      <w:r w:rsidDel="00000000" w:rsidR="00000000" w:rsidRPr="00000000">
        <w:rPr>
          <w:rFonts w:ascii="Times New Roman" w:cs="Times New Roman" w:eastAsia="Times New Roman" w:hAnsi="Times New Roman"/>
          <w:sz w:val="20"/>
          <w:szCs w:val="20"/>
          <w:rtl w:val="0"/>
        </w:rPr>
        <w:t xml:space="preserve">” means the Ministry of Commerce, or, with respect to any matter submitted for examination and approval by the Ministry of Commerce of the People’s Republic of China, any local government authority of commerce which is similarly competent to examine and approve such matter under the laws and regulations of the PRC.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NDRC</w:t>
      </w:r>
      <w:r w:rsidDel="00000000" w:rsidR="00000000" w:rsidRPr="00000000">
        <w:rPr>
          <w:rFonts w:ascii="Times New Roman" w:cs="Times New Roman" w:eastAsia="Times New Roman" w:hAnsi="Times New Roman"/>
          <w:sz w:val="20"/>
          <w:szCs w:val="20"/>
          <w:rtl w:val="0"/>
        </w:rPr>
        <w:t xml:space="preserve">” means the National Development and Reform Commission, and any local governmental development and reform commissions.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New Business License</w:t>
      </w:r>
      <w:r w:rsidDel="00000000" w:rsidR="00000000" w:rsidRPr="00000000">
        <w:rPr>
          <w:rFonts w:ascii="Times New Roman" w:cs="Times New Roman" w:eastAsia="Times New Roman" w:hAnsi="Times New Roman"/>
          <w:sz w:val="20"/>
          <w:szCs w:val="20"/>
          <w:rtl w:val="0"/>
        </w:rPr>
        <w:t xml:space="preserve">” shall mean the new business license of the Object Company issued by the industrial and commercial administration after completion of the Capital Increase and Equity Interest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“Object Company</w:t>
      </w:r>
      <w:r w:rsidDel="00000000" w:rsidR="00000000" w:rsidRPr="00000000">
        <w:rPr>
          <w:rFonts w:ascii="Times New Roman" w:cs="Times New Roman" w:eastAsia="Times New Roman" w:hAnsi="Times New Roman"/>
          <w:sz w:val="20"/>
          <w:szCs w:val="20"/>
          <w:rtl w:val="0"/>
        </w:rPr>
        <w:t xml:space="preserve">” shall mean Zhejiang Jingning Yingchuan Hydropower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Object Company Financial Statements</w:t>
      </w:r>
      <w:r w:rsidDel="00000000" w:rsidR="00000000" w:rsidRPr="00000000">
        <w:rPr>
          <w:rFonts w:ascii="Times New Roman" w:cs="Times New Roman" w:eastAsia="Times New Roman" w:hAnsi="Times New Roman"/>
          <w:sz w:val="20"/>
          <w:szCs w:val="20"/>
          <w:rtl w:val="0"/>
        </w:rPr>
        <w:t xml:space="preserve">” shall bear the meaning ascribed thereto in Article 32.16.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Object Equity Interest</w:t>
      </w:r>
      <w:r w:rsidDel="00000000" w:rsidR="00000000" w:rsidRPr="00000000">
        <w:rPr>
          <w:rFonts w:ascii="Times New Roman" w:cs="Times New Roman" w:eastAsia="Times New Roman" w:hAnsi="Times New Roman"/>
          <w:sz w:val="20"/>
          <w:szCs w:val="20"/>
          <w:rtl w:val="0"/>
        </w:rPr>
        <w:t xml:space="preserve">” shall mean (i) the 85% equity interest of the Object Company held by Party B, fully paid, and (ii) the 15% equity interest of the Object Company held by Party C,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Original Bank Loans</w:t>
      </w:r>
      <w:r w:rsidDel="00000000" w:rsidR="00000000" w:rsidRPr="00000000">
        <w:rPr>
          <w:rFonts w:ascii="Times New Roman" w:cs="Times New Roman" w:eastAsia="Times New Roman" w:hAnsi="Times New Roman"/>
          <w:sz w:val="20"/>
          <w:szCs w:val="20"/>
          <w:rtl w:val="0"/>
        </w:rPr>
        <w:t xml:space="preserve">” shall mean all outstanding loans of the Object Company as of the Base Date, a list of which is attached hereto as Appendix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Party B</w:t>
      </w:r>
      <w:r w:rsidDel="00000000" w:rsidR="00000000" w:rsidRPr="00000000">
        <w:rPr>
          <w:rFonts w:ascii="Times New Roman" w:cs="Times New Roman" w:eastAsia="Times New Roman" w:hAnsi="Times New Roman"/>
          <w:sz w:val="20"/>
          <w:szCs w:val="20"/>
          <w:rtl w:val="0"/>
        </w:rPr>
        <w:t xml:space="preserve">” shall mean Zhejiang Guangsha Stock Co., Ltd, a company registered and established under the laws of People’s Republic of China, registered address at 21 Wuningxilu, Dongyang City, Zhejiang Province.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Party C</w:t>
      </w:r>
      <w:r w:rsidDel="00000000" w:rsidR="00000000" w:rsidRPr="00000000">
        <w:rPr>
          <w:rFonts w:ascii="Times New Roman" w:cs="Times New Roman" w:eastAsia="Times New Roman" w:hAnsi="Times New Roman"/>
          <w:sz w:val="20"/>
          <w:szCs w:val="20"/>
          <w:rtl w:val="0"/>
        </w:rPr>
        <w:t xml:space="preserve">” shall mean Zhejiang Guangsha Hydropower Investment Co., Ltd, a company registered and established under the laws of People’s Republic of China, registered address at 157-1 Liqinglu, Lishui City Zhejiang Province.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Provisional Account</w:t>
      </w:r>
      <w:r w:rsidDel="00000000" w:rsidR="00000000" w:rsidRPr="00000000">
        <w:rPr>
          <w:rFonts w:ascii="Times New Roman" w:cs="Times New Roman" w:eastAsia="Times New Roman" w:hAnsi="Times New Roman"/>
          <w:sz w:val="20"/>
          <w:szCs w:val="20"/>
          <w:rtl w:val="0"/>
        </w:rPr>
        <w:t xml:space="preserve">” shall bear the meaning as ascribed thereto in Article 7.1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 shall mean the price paid by Transferee for the purchase of the Object Equity Interest as set out in Article 5 pursuant to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China</w:t>
      </w:r>
      <w:r w:rsidDel="00000000" w:rsidR="00000000" w:rsidRPr="00000000">
        <w:rPr>
          <w:rFonts w:ascii="Times New Roman" w:cs="Times New Roman" w:eastAsia="Times New Roman" w:hAnsi="Times New Roman"/>
          <w:sz w:val="20"/>
          <w:szCs w:val="20"/>
          <w:rtl w:val="0"/>
        </w:rPr>
        <w:t xml:space="preserve">” shall mean the People’s Republic of China, and insofar as this Contract is concerned, shall exclude Hong Kong, Taiwan and Macao.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Renminbi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RMB</w:t>
      </w:r>
      <w:r w:rsidDel="00000000" w:rsidR="00000000" w:rsidRPr="00000000">
        <w:rPr>
          <w:rFonts w:ascii="Times New Roman" w:cs="Times New Roman" w:eastAsia="Times New Roman" w:hAnsi="Times New Roman"/>
          <w:sz w:val="20"/>
          <w:szCs w:val="20"/>
          <w:rtl w:val="0"/>
        </w:rPr>
        <w:t xml:space="preserve">” shall mean the legal currency of the PRC.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SAFE</w:t>
      </w:r>
      <w:r w:rsidDel="00000000" w:rsidR="00000000" w:rsidRPr="00000000">
        <w:rPr>
          <w:rFonts w:ascii="Times New Roman" w:cs="Times New Roman" w:eastAsia="Times New Roman" w:hAnsi="Times New Roman"/>
          <w:sz w:val="20"/>
          <w:szCs w:val="20"/>
          <w:rtl w:val="0"/>
        </w:rPr>
        <w:t xml:space="preserve">” means the PRC State Administration of Foreign Exchange, and any local governmental foreign exchange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SCRS</w:t>
      </w:r>
      <w:r w:rsidDel="00000000" w:rsidR="00000000" w:rsidRPr="00000000">
        <w:rPr>
          <w:rFonts w:ascii="Times New Roman" w:cs="Times New Roman" w:eastAsia="Times New Roman" w:hAnsi="Times New Roman"/>
          <w:sz w:val="20"/>
          <w:szCs w:val="20"/>
          <w:rtl w:val="0"/>
        </w:rPr>
        <w:t xml:space="preserve">” means the China Securities Regulatory Commission and any of its designated agencies.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State-owned Properly Right</w:t>
      </w:r>
      <w:r w:rsidDel="00000000" w:rsidR="00000000" w:rsidRPr="00000000">
        <w:rPr>
          <w:rFonts w:ascii="Times New Roman" w:cs="Times New Roman" w:eastAsia="Times New Roman" w:hAnsi="Times New Roman"/>
          <w:sz w:val="20"/>
          <w:szCs w:val="20"/>
          <w:rtl w:val="0"/>
        </w:rPr>
        <w:t xml:space="preserve">”, pursuant to Property Law of the People’s Republic China and other related regulations, shall mean all property rights owned by the PRC government or state-owned enterprises which are not allowed or allowed under certain terms and conditions to be transferred or allotted to natural persons, private companies, or institutions.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means all national and local internal revenue taxes under PRC laws including without limitation all income, capital gains, withholding (including expanded, final and compensation withholding), value added, documentary stamp, percentage, payroll, excise and any other taxes, levies, charges, deductions or duties of any nature and includes any corresponding interest, expense, fine, penalty or other charge payable, claimed, estimated or assessed in respect of any such Taxes and imposed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Taxation Claims</w:t>
      </w:r>
      <w:r w:rsidDel="00000000" w:rsidR="00000000" w:rsidRPr="00000000">
        <w:rPr>
          <w:rFonts w:ascii="Times New Roman" w:cs="Times New Roman" w:eastAsia="Times New Roman" w:hAnsi="Times New Roman"/>
          <w:sz w:val="20"/>
          <w:szCs w:val="20"/>
          <w:rtl w:val="0"/>
        </w:rPr>
        <w:t xml:space="preserve">” means claims for taxation which have been made or may hereafter be made against the Object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before the Delivery Date and in respect of or arising from any transaction effected or deemed to have been effected by the Object Company, whether reported or filed in respect of, prior to, on or after such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by reference to any income, profits or gains earned, accrued or received by the Object Company on or before the Delivery Date, whether reported or filed in respect of, prior to, on or after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Third Party</w:t>
      </w:r>
      <w:r w:rsidDel="00000000" w:rsidR="00000000" w:rsidRPr="00000000">
        <w:rPr>
          <w:rFonts w:ascii="Times New Roman" w:cs="Times New Roman" w:eastAsia="Times New Roman" w:hAnsi="Times New Roman"/>
          <w:sz w:val="20"/>
          <w:szCs w:val="20"/>
          <w:rtl w:val="0"/>
        </w:rPr>
        <w:t xml:space="preserve">” shall mean any natural person, legal entity, or any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or entity, other than the parties to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Two Transfer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Subject of the Equity Interest Transfer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subject of this Contract is the Object Equity Interest. Subject to the terms and conditions herein, the Transferors hereby sell and transfer to the Transferee, and the Transferee buys and acquires from the Transferors the Object Equity Interest together with all rights, interests and entitlements attached thereto and free of any Encumbrance in consideration of the Transferee paying the Purchase Price to the Transferors in accordance with the terms and conditions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Pre-emptive purchase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Transferor hereby waives its respective pre-emptive purchase rights to the equity interest of the Object Company to be transferred by the Transferors to the Transferee pursuant to the terms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agree to comply with the terms and conditions of this Contract and to transfer to the Transferee the Object Equity Interest held by them and all the rights, interests and entitlements attached thereto. The Transferee agrees to comply with the terms of the Contract and accepts the Object Equity Interest. After the transfer of the Equity Interest is completed in accordance with the provisions of this Contract, the Transferee will hold 100 percent (100%) of the equity interest in the Object Company and the Transferor will no longer hold any equity interest in the Object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Three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6"/>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and the Transferee agree that the Purchase Price shall be determined by consideration of and reference to the assessed value of the assets of the Object Company as set out in an evaluation report issued by an assets evaluation agency (with competent qualifications). Upon mutual consultation, the Transferors and the Transferee confirm and agree that the final Purchase Price shall be RMB 291,436,989 </w:t>
            </w:r>
            <w:r w:rsidDel="00000000" w:rsidR="00000000" w:rsidRPr="00000000">
              <w:rPr>
                <w:rFonts w:ascii="Times New Roman" w:cs="Times New Roman" w:eastAsia="Times New Roman" w:hAnsi="Times New Roman"/>
                <w:color w:val="000000"/>
                <w:sz w:val="20"/>
                <w:szCs w:val="20"/>
                <w:u w:val="single"/>
                <w:rtl w:val="0"/>
              </w:rPr>
              <w:t xml:space="preserve">                    </w:t>
            </w:r>
            <w:r w:rsidDel="00000000" w:rsidR="00000000" w:rsidRPr="00000000">
              <w:rPr>
                <w:rFonts w:ascii="Times New Roman" w:cs="Times New Roman" w:eastAsia="Times New Roman" w:hAnsi="Times New Roman"/>
                <w:color w:val="000000"/>
                <w:sz w:val="20"/>
                <w:szCs w:val="20"/>
                <w:rtl w:val="0"/>
              </w:rPr>
              <w:t xml:space="preserve"> (the “</w:t>
            </w:r>
            <w:r w:rsidDel="00000000" w:rsidR="00000000" w:rsidRPr="00000000">
              <w:rPr>
                <w:rFonts w:ascii="Times New Roman" w:cs="Times New Roman" w:eastAsia="Times New Roman" w:hAnsi="Times New Roman"/>
                <w:b w:val="1"/>
                <w:color w:val="000000"/>
                <w:sz w:val="20"/>
                <w:szCs w:val="20"/>
                <w:rtl w:val="0"/>
              </w:rPr>
              <w:t xml:space="preserve">Purchase Price</w:t>
            </w:r>
            <w:r w:rsidDel="00000000" w:rsidR="00000000" w:rsidRPr="00000000">
              <w:rPr>
                <w:rFonts w:ascii="Times New Roman" w:cs="Times New Roman" w:eastAsia="Times New Roman" w:hAnsi="Times New Roman"/>
                <w:color w:val="000000"/>
                <w:sz w:val="20"/>
                <w:szCs w:val="20"/>
                <w:rtl w:val="0"/>
              </w:rPr>
              <w:t xml:space="preserve">”). The respective amount of payment made to each Transferor shall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Party B: RMB 247,721,441;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Party C: RMB 43,715,548.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Purchase Price hereunder shall be paid by the Transferee in RMB unless the Contract provides otherwise. The Transferors and the Transferee agree that in the event any amounts expressed in RMB are to be paid in US Dollars, the parties will apply the RMB/US Dollars exchange rate equivalent to the median rate of RMB and US Dollars published by People’s Bank of China on the date of payment specified in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Remittance of the Purchase 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Promptly upon approval of this Contract by the Examination and Approval Authority, thereby converting the Object Company into a wholly foreign invested enterprise (hereinafter referred to as a “</w:t>
            </w:r>
            <w:r w:rsidDel="00000000" w:rsidR="00000000" w:rsidRPr="00000000">
              <w:rPr>
                <w:rFonts w:ascii="Times New Roman" w:cs="Times New Roman" w:eastAsia="Times New Roman" w:hAnsi="Times New Roman"/>
                <w:b w:val="1"/>
                <w:color w:val="000000"/>
                <w:sz w:val="20"/>
                <w:szCs w:val="20"/>
                <w:rtl w:val="0"/>
              </w:rPr>
              <w:t xml:space="preserve">WFOE</w:t>
            </w:r>
            <w:r w:rsidDel="00000000" w:rsidR="00000000" w:rsidRPr="00000000">
              <w:rPr>
                <w:rFonts w:ascii="Times New Roman" w:cs="Times New Roman" w:eastAsia="Times New Roman" w:hAnsi="Times New Roman"/>
                <w:color w:val="000000"/>
                <w:sz w:val="20"/>
                <w:szCs w:val="20"/>
                <w:rtl w:val="0"/>
              </w:rPr>
              <w:t xml:space="preserve">”), and the approval by SAFE for the opening of a domestic provisional foreign exchange account for the Equity Interest Transfer, the Transferee shall open a provisional foreign exchange capital account (the “</w:t>
            </w:r>
            <w:r w:rsidDel="00000000" w:rsidR="00000000" w:rsidRPr="00000000">
              <w:rPr>
                <w:rFonts w:ascii="Times New Roman" w:cs="Times New Roman" w:eastAsia="Times New Roman" w:hAnsi="Times New Roman"/>
                <w:b w:val="1"/>
                <w:color w:val="000000"/>
                <w:sz w:val="20"/>
                <w:szCs w:val="20"/>
                <w:rtl w:val="0"/>
              </w:rPr>
              <w:t xml:space="preserve">Provisional Account</w:t>
            </w: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Within five (5) days of opening the Provisional Account, and on the condition that the provisions under Article 7.2.1 are completed and satisfied by the Transferee, the Transferee shall remit the Purchase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Price in a lump-sum to the Provisional Account.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Parties to this Contract agree that all obligations of the Transferee under this Contract including but not restricted to, remitting the Purchase Price to the Provisional Account, are subject to the fulfillment of the following conditions: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assumption and succession of the previous bank loans of The Object Company has been consented and acknowledged by the lending bank in accordance with Article 22.8.3 of this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obligations of the Object Company and the Transferors under the Contract shall have been duly performed and the representations and warranties of the Transferors contained in this Contract shall be true and correct.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shall have completed all business, legal, project and financial due diligence, and any problems requiring resolution identified by any Transferee shall have been resolved to the Transferee’s satisfaction.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of the exact day of execution of this Contract, the Letter of Guarantee, attached hereto as Appendix 4, has been signed on terms and conditions satisfactory to the Transferee.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First Installment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 the date the Purchase Price reaches the Provisional Account in accordance with legal procedures, the Object Company obtains the power business permit issued by the Power Regulatory Commission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2"/>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social insurance registration certificate, the Transferee shall pay 80% of the Purchase Price (“First Installment”) to the Transferors; both of the Transferee and the Transferors agree that 80% of the yield generated by Yingchuan Hydropower Project shall belong to the Object Company from the date of the First Installment to next installment, and the Transferors shall not dispose of, reduce or damage the aforesaid yield in any manner, otherwise, the Transferee is entitled to directly pursue the Transferors for compensation.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Second Installment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14"/>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While the transfer stipulated under Article 17 hereunder is completed and confirmed in writing by both of the Transferors and the Transferee, the Transferee shall pay 18% of the Purchase (“Second Installment”) to the Transferors; both of the Transferors and the Transferee agree that since the date of the Second Installment, all yield generated by Yingchuan Hydropower Project shall belong to the Object Company, and the Transferors shall not reduce or damage such yield, otherwise the Transferee is entitled to directly pursue the Transferors for compensation.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Performance Deposit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Within five (5) days after the Object Company has obtained the power business permit and the examining and accepting of the Yingchuan Hydropower Project is completed as evidenced by certificates of qualifications from all relevant government departments, the Transferee shall pay 2% of the Purchase Price as performance deposit to the Transferors.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Taxes, fees or other charges are levied on the Purchase Price in the PRC, the same shall be borne by the Transferee and the Transferors, however, the Stamp Tax, to be paid by the Transferee through the Transferors lawfully withholding it, shall be paid to the Transferors within three (3) days upon effectiveness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5"/>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issue official and valid receipts to the Transferee promptly after each receipt of the Transferee’s payment of the Purchase Price. Within five (5) days after receipt of the Transferee’s payment of the Purchase Price, the Transferors shall have completed the foreign exchange registration of the Equity Interest Transfer with SAFE where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16"/>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of the Transferors is located, obtained such certificate of registration, and provided it to the Transferee.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7"/>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 the date of the First Installment stipulated in Article 8.1 hereunder, Transferors shall repay RMB 2,500,000 out of the deposit of RMB 8,000,000 made by the Transferee pursuant to the Framework Agreement, to the Third Party company within China designated by Transferee.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Four Capital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8"/>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Capital Increase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19"/>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Simultaneously with the Equity Interest Transfer, the sum of RMB 12,593,011 (the “</w:t>
            </w:r>
            <w:r w:rsidDel="00000000" w:rsidR="00000000" w:rsidRPr="00000000">
              <w:rPr>
                <w:rFonts w:ascii="Times New Roman" w:cs="Times New Roman" w:eastAsia="Times New Roman" w:hAnsi="Times New Roman"/>
                <w:b w:val="1"/>
                <w:color w:val="000000"/>
                <w:sz w:val="20"/>
                <w:szCs w:val="20"/>
                <w:rtl w:val="0"/>
              </w:rPr>
              <w:t xml:space="preserve">Capital Increase</w:t>
            </w:r>
            <w:r w:rsidDel="00000000" w:rsidR="00000000" w:rsidRPr="00000000">
              <w:rPr>
                <w:rFonts w:ascii="Times New Roman" w:cs="Times New Roman" w:eastAsia="Times New Roman" w:hAnsi="Times New Roman"/>
                <w:color w:val="000000"/>
                <w:sz w:val="20"/>
                <w:szCs w:val="20"/>
                <w:rtl w:val="0"/>
              </w:rPr>
              <w:t xml:space="preserve">”) will be injected to the Object Company to increase its registered capital.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0"/>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Remittance of the Capital Increase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21"/>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Promptly upon the approval of this Contract by the Examination and Approval Authority, the Transferors and the Transferee shall work jointly on opening a Foreign Exchange Capital for the Object Company to be jointly kept by them. The Object Company’s official seal (to be kept by the Transferors) and the personal seal of Transferee’s authorized representative (to be kept by the Transferee) will be reserved at the Foreign Exchange Capital Account.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shall remit the Capital Increase to the Foreign Exchange Capital Account simultaneously with the remittance of the Purchase Price to the Provisional Account as provided in Article 8.2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2"/>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Use of the Capital Increase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23"/>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Capital Increase will be used to discharge those outstanding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4"/>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debts of the Object Company incurred after the restructuring of credits and debts as listed in Appendix 6, and to satisfy the requirements for running the Object Company and expanding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5"/>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within three (3) days of the Transferee remitting the Capital Increase to the Foreign Exchange Capital Account, complete the restructuring of its credits and debts listed in Appendix 6 of this Contract (“Credits and Debts Restructuring”), and the Third Party designated by the Transferors shall sign official credits and debts restructuring agreements (“Restructuring Agreements”) with creditors of the Object Company and the Object Company itself in form and content approved by the Transferee.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Capital Increase amount shall not be disbursed by the Object Company until the following conditions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have completed the restructuring of its credits and debts as listed in Appendix 6 ( as evidenced by the restructuring agreement entered into between creditors, debtors, the Object Company and approved by the Transferee);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6"/>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the Equity Interest Transfer and the Capital Increase has been completed, the registered capital of the Object Company shall be changed to RMB 153,063,011.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Five Authorization Approval and Handover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7"/>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Within three (3) days of execution of this Contract, the Transferors and the Transferee shall make joint application to the Examination and Approval Authority to perform the examination and approval procedures for this Contract. If examination and approval of this Contract is required from CSRC, NDRC, the Water Conservancy Department and the Power Department, this Contract shall be submitted to the competent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28"/>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departments of such organizations for such examination and approval.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9"/>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and the Transferee shall co-operate and jointly undertake the registration of the transfer of the Object Equity Interest and apply for the New Business License with the relevant governmental authorities.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0"/>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Handover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31"/>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Upon the date on which this Contract is approved by the Examination and Approval Authority, the Transferors and the Transferee shall organize a team responsible for the handover and take joint and active actions to conduct the handover of the Object Company, the Hydropower Project and the Object Equity Interest, including but is not limited to handing over the production, operation and management, accounting and finance, assets checking and accounting, file documents, certificates and licenses, seal s and project construction to the Transferee.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 shall assure that the assets of the Object Company Hydropower Project to be handed over to the Transferee shall not have any loss or damage compared with the result of the due diligence listed in Appendix 5 and the audit by the Transferee listed in Appendix 1. The Transferors shall make a comprehensive and complete handover to the Transferees pursuant to the audit and completion of such handover is confirmed by the Transferees.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handover shall include but is not limited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2"/>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business seals, special financial seals and special contract seals, [to list all] of the Object Company shall be handed over to the Transferee;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and the Transferee shall check and count the assets of Object Company, compile the assets inventory and perform the handover with confirmation via signatures of the jobsite representatives of the Transferors and Transferee. The assets loss ascertained through the assets check and 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3"/>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procedure shall be compensated by the Transferors at the assessed value for such missing assets;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original engineering drawings, contracts, agreements (including but not limited to project contracts, equipment contracts, installation contracts and material contracts) and any other file documents of the Hydropower Project shall be handed over to the Transferee;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financial books and the accounting files shall be handed over to the Transferee;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make technical disclosure to the Transferee about the companies responsible for the construction of the Hydropower Projects, equipment supply (manufacturer), design, supervision, quality inspection, output line and otherwise;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Handover of all other materials and files of the Object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handover procedures as may be reasonably required by the Transferee,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4"/>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handover shall be completed within seven (7) days of the First Installment and confirmed by the signatures of respective representatives of the parties.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assure in the course of the handover, the construction and production of the power station is continuous, steady and secure.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give their full cooperation and complete the handover. If the Transferors do not give cooperation and incur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pPr>
      <w:r w:rsidDel="00000000" w:rsidR="00000000" w:rsidRPr="00000000">
        <w:rPr>
          <w:rtl w:val="0"/>
        </w:rPr>
      </w:r>
    </w:p>
    <w:tbl>
      <w:tblPr>
        <w:tblStyle w:val="Table35"/>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Damages to the Transferee or to the Object Company after the Equity Interest Transfer is completed, the Transferors shall bear the liability for compensation pursuant to the relevant laws.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agree that the Hydropower Project and related equipment and facilities of the Object Company have no quantitative and qualitative problems inconsistent with the evaluation report. If any quantitative and qualitative problems with the hydropower projects and equipment incur any losses to the Transferee, the Transferee is entitled to pursue the Transferors for compensation.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Six Assumption of Credits and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6"/>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Original Bank Loans of the Object Company as of the Base Date which have been disclosed by the Transferors to the Transferee, shall be assumed by the Object Company after the Equity Interest Transfer is completed.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7"/>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following financial items of the Object Company shall be assumed by the Transferors in accordance with Article 13.1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8"/>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monetary fund, the accounts receivables and the accounts payable listed in Appendix 6 and arising prior to the Base Date shall be enjoyed or borne by the Transferors. In this regards, the Transferors shall save harmless the Transferee or the Object Company from any Claims, demands and losses arising out of such monetary fund, accounts receivable and accounts payable noted in Appendix 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for the Disclosed Information set forth in Appendix </w:t>
            </w:r>
            <w:r w:rsidDel="00000000" w:rsidR="00000000" w:rsidRPr="00000000">
              <w:rPr>
                <w:rFonts w:ascii="Times New Roman" w:cs="Times New Roman" w:eastAsia="Times New Roman" w:hAnsi="Times New Roman"/>
                <w:i w:val="1"/>
                <w:color w:val="000000"/>
                <w:sz w:val="20"/>
                <w:szCs w:val="20"/>
                <w:rtl w:val="0"/>
              </w:rPr>
              <w:t xml:space="preserve">2, </w:t>
            </w:r>
            <w:r w:rsidDel="00000000" w:rsidR="00000000" w:rsidRPr="00000000">
              <w:rPr>
                <w:rFonts w:ascii="Times New Roman" w:cs="Times New Roman" w:eastAsia="Times New Roman" w:hAnsi="Times New Roman"/>
                <w:color w:val="000000"/>
                <w:sz w:val="20"/>
                <w:szCs w:val="20"/>
                <w:rtl w:val="0"/>
              </w:rPr>
              <w:t xml:space="preserve">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39"/>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debts (including contingent debts) of the Object Company as of the Base Date which the Transferors have not disclosed in Appendix 2 of this Contract, when executing this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debts (including contingent debts and debts that have not been part of assets, e.g. litigation) of the Object Company incurred during the period from the Base Date of the Equity Interest Transfer to the Delivery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0"/>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Financial affairs from the Base Date to the Delivery Date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41"/>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for circumstances specified in Article 8 of this Contract, the credits and yield of the Object Company within the Period shall belong to the Transferors, allocated and disposed of in accordance with the previous Articles of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Taxes (if any return) incurred prior to the Delivery Date in the normal business course of the Object Company shall belong to the Transferors. The said taxes received by the Object Company after the Delivery Date shall be paid to Zhejiang Guangsha Hydropower Investment Corporation Limited within three (3) days upon receipt of the same.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Within the Period, the interest on the loans of the Object Company shall be borne by the Object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 the immediate date following the Delivery Date, the Transferors and the Transferee shall jointly confirm the aforesaid amounts.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2"/>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Credits and Debts which shall be assumed by the Transferors in accordance with Article 19 of this Contract, if the right holder makes claim against the Object Company and the Object Company assumes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pPr>
      <w:r w:rsidDel="00000000" w:rsidR="00000000" w:rsidRPr="00000000">
        <w:rPr>
          <w:rtl w:val="0"/>
        </w:rPr>
      </w:r>
    </w:p>
    <w:tbl>
      <w:tblPr>
        <w:tblStyle w:val="Table43"/>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credits and debts in advance in favor of the right holder, the Object Company or the Transferee will be entitled to seek compensation from the Transferors separately pursuant to this Contract and the Transferors shall indemnify the Object Company or the Transferee (if the Transferee assumed such Credits and Debts) and save harmless the same from all such claims and demands. The scope of compensations shall include the debts themselves, all costs and expenses incurred by the Object Company and the Transferee in handling and settling the debts, including but not limited to litigation cost, arbitration cost, enforcement cost, attorney’s cost, and travel cost.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Seven Rights and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44"/>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Rights and Obligations of the Transferors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45"/>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this Contract is signed, the Transferors shall present to the Transferee the valid legal documents and the internal approval and authorization documents specified in Article 32.1 of this Contract that evidence the establishment of the Object Company and that the Transferors legally hold the Object Equity Interest.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Upon execution of the Contract, the Transferors shall not commit any act which damages and deceases or may damage and decrease the Object Company Hydropower Project’s assets, rights and interests.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Upon execution of this Contract, the Transferors shall not exercise any rights over the Object Equity Interest, such as any actions to establish a mortgage, pledge, transfer and trusteeship over the Object Equity Interest which may influence the actual fulfillment of the Contract and the Transferee’s procurement of the Object Equity Interest as provided in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46"/>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Upon execution of the Contract, the Transferors agree that they and the Object Company shall manage the Object Company normally with due care of a good faith managing party, which shall include but not limited to (i) no change to the constitutional documents of the Object Company; (ii) no change to the accounting policies of the Object Company after the execution of the Contract; and when they dispose of the assets, credits and debts and all other rights and obligations of the Object Company in the normal course of business, they shall give advance notice to the Transferee and procure approval from the Transferee, otherwise all consequences arising from such disposal actions shall be borne solely by the Transferors themselves.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actively assist the Transferee to handle all approval procedures of the Equity Interest Transfer and provide all necessary cooperation.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actively assist the Transferee to handle the registration procedures related to the Equity Interest Transfer and agree that they and the Object Company shall provide all necessary cooperation.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pursuant to the provisions under this Contract conduct the procedures for the change of the Object Company and the Object Equity Interest and the Transferors agree that the assets of the Object Company’s Hydropower Project handed over to the Transferee shall not have any loss or damage compared with the assets of Hydropower Project confirmed by audit and due diligence on the Base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procure continuity of the original bank loans of the Object Company listed in the Appendix 4 to this Contract as follows: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Prior to the date of the Equity Interest Transfer, for matters concerning the validity of the Original Bank Loan contracts of the Object Company, the amount of the loans, the terms of the loans, the deadline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47"/>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repayment and the terms of extension of the loans, the Transferors shall not commit any act adverse to the interest of the Object Company after the Equity Interest Transfer is completed.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agree that, the finance amount, loan terms, repayment time period, extension terms and all other conditions promised to the Object Company by the lending banks of the Original Bank Loans prior to the Base Date of the Equity Interest Transfer, shall not have any change adverse to the Object Company prior to the date of the Equity Interest Transfer and Delivery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and the Transferee shall make joint efforts to coordinate with the related lending banks on succession of the Original Bank Loans of the Object Company. Procurement of the said consent and confirmation from the lending banks is a precondition for the Transferee to remit the Purchase Price pursuant to Article 7.2 of this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accordance with the provisions of Articles 22.8.2 and 22.9 of this Contract, the Transferors shall provide relevant guarantees on the Original Bank Loans to the satisfaction of the lending banks after the Equity Interest Transfer.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obtain from all lending banks a waiver of them recovering all or part of the Original Bank Loans before they are due and payable in respect of matters concerning the Object Company’s assets mortgaged to the lending bank, contracted operations, the Equity Interest Transfer that may enable such lending banks to commit the said 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procure that the guarantees of the Original Bank Loans of the Object Company shall continue to be fulfilled by the original guarantor after the Equity Interest Transfer is completed. Upon execution of this Contract, the Transferors shall provide the letter of commitment issued by the original guarantor of the Original Bank Loans of the Object Company that the said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48"/>
        <w:tblW w:w="9360.0" w:type="dxa"/>
        <w:jc w:val="left"/>
        <w:tblInd w:w="0.0" w:type="pct"/>
        <w:tblLayout w:type="fixed"/>
        <w:tblLook w:val="0600"/>
      </w:tblPr>
      <w:tblGrid>
        <w:gridCol w:w="842.4"/>
        <w:gridCol w:w="400"/>
        <w:gridCol w:w="8117.6"/>
        <w:tblGridChange w:id="0">
          <w:tblGrid>
            <w:gridCol w:w="842.4"/>
            <w:gridCol w:w="400"/>
            <w:gridCol w:w="81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guarantor will continue to fulfill the guarantees pursuant to the original terms and conditions. Such letter of commitment is attached to this Contract as Appendix 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original guarantor of the Original Bank Loans or the Transferors comply with Articles 21.8.4 and 21.9 of this Contract and provide the guarantees of the Original Bank Loans of the Object Company, the Transferee shall pay the guarantee cost pursuant to the following terms to the original guarantor or the Transferors: prior to the payment of performance deposit specified in Article 8.3, the Transferee shall pay 75% of the market guarantee cost (3% of the performance deposit per year); subsequent to the payment of performance deposit specified in Article 8.3, the Transferee shall pay fifty percent (50%) of the prevailing guarantee fee rate of the market (i.e., 3% of the guarantee amount per year), that is, 1.5% of the guarantee amount per year as a security fee, and the Transferee should accordingly provide a proportional counter guarantee with equity or assets acknowledged by the Transferors. Other items may be negotiated and specified by both parties separately.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prior to the date March 31, 2008, complete the legal “completion and acceptance” process for the Yingchuan Hydropower Station Project and bear the expenses for such completion and acceptance as well as renovation.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ensure that the Object Company has obtained the power business license for the legal operation of the Hydropower Project prior to March 31, 2008.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be responsible for and ensure that the Object Company has obtained the water procurement license with regard to Yingchuan Hydropower Station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give timely written notice to the Transferee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4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they come into knowledge of any acts, events or conditions which may make the Contract impossible to be partly or completely fulfilled.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be entitled to receive and accept the Purchase Price pursuant to the provisions of this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shall be jointly and severally liable for the obligations, representations, statements and warranties of each Transferor under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23 Rights and Obligations of the Transferee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5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Simultaneous with the Execution of this Contract, the Transferee shall present to the Transferors the internal approval and authorization documents specified in Article 33.2 of this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will assist the Transferors handle all approval procedures of the Equity Interest Transfer and provide all necessary cooperation.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will actively assist the Transferors to handle the registration procedures with AIC of the Equity Interest Transfer and agree that they and the Object Company shall provide all necessary cooperation.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shall pay the Purchase Price to the Transferors and shall pay the Increased Capital to the Object Company in accordance with the provisions of this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shall give timely written notice to the Transferors when it comes into knowledge of any acts, events or conditions which may make the Contract impossible to be partly or completely fulfilled.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rPr/>
      </w:pPr>
      <w:r w:rsidDel="00000000" w:rsidR="00000000" w:rsidRPr="00000000">
        <w:rPr>
          <w:rtl w:val="0"/>
        </w:rPr>
      </w:r>
    </w:p>
    <w:tbl>
      <w:tblPr>
        <w:tblStyle w:val="Table5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and the Transferees shall make joint efforts and shall cooperate preparing/completing all necessary application documentation and to complete all procedures to facilitate the Equity Interest Transfer contemplated by this Contract, including but not limited to, the examination and approval process and the registration and record filing process. All costs incurred therein shall be borne by each party respectively.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Eight: Fulfillment and Unilateral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5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parties shall fulfill their Contractual obligations fully and completely pursuant to the provisions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26 </w:t>
      </w:r>
      <w:r w:rsidDel="00000000" w:rsidR="00000000" w:rsidRPr="00000000">
        <w:rPr>
          <w:rFonts w:ascii="Times New Roman" w:cs="Times New Roman" w:eastAsia="Times New Roman" w:hAnsi="Times New Roman"/>
          <w:sz w:val="20"/>
          <w:szCs w:val="20"/>
          <w:rtl w:val="0"/>
        </w:rPr>
        <w:t xml:space="preserve">  The Transferee shall have the right to terminate this Contract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Within five (5) days of opening the Foreign Exchange Capital Account specified in this Contract, the Transferee and the Object Company fail to obtain the consent and confirmation of the lending bank specified in Article 21.8.3 of this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have not disclosed relevant facts and events prior to the Base Date, and such facts that will materially and negatively impact the continued legal and normal operations of the Object Company after the Equity Interest Transfer.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have not disclosed facts and events prior to the Base Date, that will subject the Object Company to administrative penalty, and the administrative penalty arising from such undisclosed facts and/or events will impact the continued legal and normal operation of the Object Company after the Equity Interest Transfer.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Transferee elects to terminate this Contract as hereinbefore provided, it shall do so by written notice to the Transferors. Within two (2) days of receipt of the termination notice from the Transferee, the Transferors shall repay to the Transferee all payments made by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54"/>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tbl>
      <w:tblPr>
        <w:tblStyle w:val="Table5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Transferee pursuant to the Framework Agreement and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Transferee elects to terminate this Contract pursuant to Article 26.1 of this Contract, the Transferors and the Transferee shall be mutually released from the provisions of this Contract and bear no further liability.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Transferee elects to terminates this Contract pursuant to Articles 26.2 or 26.3 of this Contract, the Transferors shall bear liability for breaching this Contract under relevant provisions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this Contract and the Equity Interest Transfer fail to be approved by the Examination and Approval Authority, and such failure is not caused by either the Transferors or the Transferee, this Contract shall be deemed to be terminated. The Transferors shall, within 3 days of the termination of this Contract, repay to the Transferee all payments paid by the Transferee pursuant to the Framework Agreement and this Contract. Thereafter, the parties will be mutually released from this Contract without further liability.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Party fails to complete the transfer of the object company equity interest of any of the other object companies under the Framework Agreement, both the Transferors and the Transferee shall have the light to terminate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this Contract expressly specifies otherwise or the parties agree in writing, neither party to this Contract shall terminate or dismiss this Contract without the consent of the other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Taxes or fees arising out of execution and fulfillment of this Contract shall be bome by each of the Transferors and Transferee according to their respective tax liabilities under PRC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Delivery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Delivery Date, valid title to the Object Equity Interest will pass to the Transferee free and clear of any Encumbrance.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Nine Representations And Warranties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6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Disclosures, Representations and Warranties by Transferors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a material inducement to the Transferee to enter into this Contract and acquire the Object Equity Interest hereunder, the Transferors, jointly and severally, hereby represent and warrant to the Transferee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of the Transferors has full corporate power to execute and deliver the Contract, to perform its respective obligations hereunder, and to consummate the transactions contemplated hereby. All corporate acts required to be taken by the Transferors to authorize the execution, delivery and performance of the Contract and the consummation of the transactions contemplated hereby have been duly and properly taken.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Contract has been duly executed and delivered by the Transferors and, assuming the due execution and delivery hereof by the Transferee, the Contract constitutes a legal, valid and binding obligation of the Transferors, enforceable against each of the Transferors in accordance with its terms, subject to applicable bankruptcy, insolvency, reorganization, moratorium or other laws relating to or affecting the rights and remedies of creditors generally.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of the date hereof, the registered capital of the Object Company in the amount of RMB 140,470,000 has been fully paid in compliance with PRC law.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of the Transferors has full right and authority to transfer their portion of the Object Equity Interest to the Transferee in accordance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6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the Contract. Unless otherwise provided by the law of PRC, the Object Equity Interest is not classified as a State-owned Property Right that is not allowed to be transferred or allotted or encumbered to any natural persons, private companies, or institutions.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execution, delivery and performance of this Contract by the Transferors, and the consummation by the Transferors of the transactions contemplated hereby will not (i) violate any provision of the charter, by laws or any other organizational document of the Object Company, (ii) violate any provision of, or constitute a default (with or without notice or lapse of time) under, or give rise to a right of termination, cancellation or acceleration of (or entitle any party to accelerate whether after the giving of notice or lapse of time or both) any obligation under any agreement, indenture, undertaking or other instrument to which either the Object Company or the Transferors is a party or by which it or any of its properties may be bound or affected, (iii) violate any law, administrative regulations, regulatory documents, rules, approval documents or any judgment, injunction, order or decree, the violation of which could have a material adverse effect on the business, operations, assets or financial condition of the Object Company, or (iv) result in the creation or imposition of (or the obligation to create or impose) any Encumbrance or restriction of any kind on any of the properties of the Object Company or the Shares. Each Transferor has obtained the consents, approvals or authorization to enter into the Contract required from its board of directors and/or department in charge pursuant to its Articles of Association or by law. Conclusion of the Contract does not constitute a breach of any agreement or law, administrative regulations, regulatory documents, rules and approval documents by which Transferor is bound.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information and documents in relation to the Object Company and the Object Equity Interest that a Transferor has provided to the Transferee prior to the execution of the Contract are true and complete.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Object Company related materials and facts known or held by the Transferors, have been disclosed to the Transferee, including materials and facts which have or may have an adverse material effect on 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6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Transferors’ ability of full fulfillment of their obligations under the Contract, or if disclosed to the Transferee, have or may have an adverse material effect on the Transferee’s willingness to execute and fulfill the Contract. Such materials and facts provided by the Transferors to the Transferee do not contain any false or misleading statements. Except for the Disclosed Information, no such conditions exist as affecting the legitimacy and validity of the Equity Interest Transfer, or affecting the legal rights and interests of the Object Company. All the copies of the materials supplied by the Transferors during the due diligence to Transferee or any professional agencies delegated by the Transferee shall be the authentic duplicates of the originals and shall be true and reliable. All debts (including contingent debts) undisclosed by the Transferors in writing shall be jointly assumed by the Transferors.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the matters set out in the Disclosed Information, the Object Company is a validly established legal person, validly existing and in good standing under Chinese law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Object Company has a good and marketable title for all its properties and assets, real and personal, as reflected in the Audited Balance Sheet as Appendix 1 (the “Assets”). except as set out in the Disclosed Information, the Assets have been fully paid for and free of any Encumbrance, pledge, mortgage or retention of title. All Assets are structurally sound with no material defects, in good operating condition and fit for their purposes. None of the assets is in need of maintenance or repairs except for ordinary routine maintenance and repairs, except the conditions fully disclosed to the Transferee by the Transferors.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Hydropower Project has been approved by all competent governmental authorities in China and is in full compliance of all relevant laws, regulations, regulatory documents, rules and approval documents in China including holding all required rights to use the Land upon which is located the Hydropower Project. The Object Company has also obtained all the licenses, registrations, permits and approvals to operate the same, a list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6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which is attached hereto as Appendix 2, all of which are currently valid with no violations thereof.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Object Company and any of its officers, agents or Employees, have not committed or omitted to do any act or thing, the commission or omission of which is in contravention of any law or legislation and which may have a material adverse effect on the Object Company or any of its activities.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Neither the Object Company, the Assets, the Hydropower Project, the interests of the Transferors in the Object Equity Interest, nor any person for whom it may be liable, is or has been in the period from its establishment, engaged in any prosecution, litigation, arbitration proceedings or administrative or governmental investigation or challenge as plaintiff, defendant, Third Party or in any other capacity. There are no such matters (including customer claims) pending or threatened in respect of which verbal or written communication has been given or received by or against the Object Company. There are no facts or disputes which may or might give rise to any such matters.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Object Company has been in compliance with all requirements under Chinese law in respect of environmental protection, health and safety and hereby states that it has a clean accident history. No notices, complaints, demands or proceedings have been received by either the Object Company or any Transferor in relation to environmental issues. There is no condition of the real property or the land and building which would require any person of the Object Company to decontaminate or take other remedial action in or around that real property or building or to contribute to the costs of doing so.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Object Company has duly carried out all tax registrations required, filed in the prescribed manner and within the prescribed time all tax returns required to be filed by it, it has filed tax returns that are true, correct and complete, has made complete and accurate disclosure in such tax returns and in all schedules, documents and other materials accompanying such tax returns, has paid all taxes shown on such tax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6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returns as being due and payable and has paid all taxes payable under any assessment or reassessment which a relevant taxing authority is entitled to collect from the Object Company. No Taxation Claims or any deficiencies for Taxes of the Object Company have been made, claimed, proposed, or assessed in writing or otherwise by any governmental authority with respect to the Object Company, and there are no pending or Taxation Claims or such other threatened audits or investigations for or relating to any liability or potential liability in the respect of Taxes of the Object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Object Company has provided the Transferee with a list of all policies (including scope, duration and amount of coverage) of fire, liability, product liability, worker’s compensation and other forms of liability and casualty insurance currently in effect with respect to the Object Company. It has no liability (whether contingent or otherwise) for any unpaid salary, wages, unused entitlements, long service leave, social contributions, housing fund, (medical) insurance, taxation or other matter in relation to the employment of any person.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claims have been asserted by any person to the use of intellectual property rights including patents, trademarks, trade names, copyrights, technology, know-how or processes or challenging or questioning the validity or effectiveness of any such license or agreement, and there is no valid basis for any such claim. The use of any intellectual property rights by the Object Company does not infringe on the rights of any Third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Attached hereto as Appendix 1 is a true and complete copy the audited financial statements of the Object Company for the financial years ended on September 30, 2007 (the “</w:t>
            </w:r>
            <w:r w:rsidDel="00000000" w:rsidR="00000000" w:rsidRPr="00000000">
              <w:rPr>
                <w:rFonts w:ascii="Times New Roman" w:cs="Times New Roman" w:eastAsia="Times New Roman" w:hAnsi="Times New Roman"/>
                <w:b w:val="1"/>
                <w:color w:val="000000"/>
                <w:sz w:val="20"/>
                <w:szCs w:val="20"/>
                <w:rtl w:val="0"/>
              </w:rPr>
              <w:t xml:space="preserve">Object Company Financial Statements”)</w:t>
            </w:r>
            <w:r w:rsidDel="00000000" w:rsidR="00000000" w:rsidRPr="00000000">
              <w:rPr>
                <w:rFonts w:ascii="Times New Roman" w:cs="Times New Roman" w:eastAsia="Times New Roman" w:hAnsi="Times New Roman"/>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Object Company Financial Statements: (a) are true, correct and complete, (b) are in accordance with the books and records of the Object Company, (c) present the consolidated financial condition, assets and liabilities of the Object Company as of their respective dates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6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and the results of operation and changes in cash flows of the Object Company for the periods covered thereby, and (d) have been prepared in accordance with generally accepted accounting principles, consistently applied.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provide a true and complete list of all equipment, other personal property and fixtures in the possession or custody of the Object Company which is leased or held under licence or similar arrangement and of the leases, licenses, agreements, or other documentation relating thereto.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than the leases and subleases listed by the Transferors, the Object Company is not a party to or bound by any lease, sublease, license or other instrument relating to real property and the Object Company has not entered into any other instrument relating to real property. All interests held by the Object Company under such leases or subleases are free and clear of any and all liens, charges and Encumbrances of any nature and kind whatsoever.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leases or subleases entered into by the Object Company are in good standing and in full force and effect without amendment and the Object Company is entitled to the benefit of all such leases or subleases to which the Object Company is a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amounts of rent and other amounts presently owing under the leases or subleases to which the Object Company is a party, have been paid.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Object Company has complied with all of its obligations under the leases or subleases to which it is a party, and the Object Company is not in default or breach or has received a notice of default or breach of its obligations under such leases or subleases.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of the information set forth in Appendix 2 to the Contract is true and correct.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6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of the tangible assets, including but not limited to machinery, equipment, vehicles, furniture, office equipment, computer hardware and software wherever situated and owned by Object Company is set out in Appendix 5 are owned free and clear of all Encumbrances.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material tangible assets of the Object Company used in or in connection with the business of the Object Company (as is currently being carried out) or any part thereof are in good condition, repair and (where applicable) proper working order, having regard to the use and age thereof, except only for reasonable wear and tear.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hereby jointly confirm and assure to the Transferee that the land for the Hydropower Project of the Object Company is obtained legally.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Object Company has provided the Transferee with a list of all governmental licenses, permits, franchises, approvals and other authorizations of any governmental authority necessary for the Object Company to own, lease and operate its properties and enable it to carry on the business as presently conducted.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True and complete copies of all written Material Agreements have been made available to the Transferee by the Transferors prior to the date hereof in the course of the due diligence process.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material adverse change has occurred in any of the assets, business, financial condition, results of operation or prospects of the Object Company or the Hydropower Project has any other event, condition or state of facts occurred or arisen that might materially and adversely affect, or threaten to materially and adversely affect, the Object Company, or the business, operations or prospects of the Object Company or Hydropower Project.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6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From the execution of this Contract till the Delivery Date of the Equity Interest Transfer, the Transferors will operate and manage the Object Company and the Hydropower Project in the ordinary course, provided that the operation, business and conditions of the Object Company and the Hydropower Project will not have any materially adverse change compared with the status on Base Date; and that after the execution of this Contract, Transferors shall not take any acts that might adversely affect the Object Equity Interest, the Object Company or its Hydropower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Term of the above representations and warranties: one (1) year from the date of examination and acceptance or the effective date of this Contract, whichever comes later.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33 Disclosures, Representations and Warranties by Transferee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7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is a limited liability company duly established that validly exists and normally operates under the laws of Cayman Islands.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has full corporate power to execute and deliver the Contract, to perform its respective obligations hereunder, and to consummate the transactions contemplated hereby. All corporate acts required to be taken by the Transferee to authorize the execution, delivery and performance of the Contract and the consummation of the transactions contemplated hereby have been duly and properly taken.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Contract has been duly executed and delivered by the Transferee and, assuming the due execution and delivery hereof by the other parties hereto, the Contract constitutes the legal, valid and binding obligation of the Transferee, enforceable against it in accordance with its terms, subject to applicable bankruptcy, insolvency, reorganization, moratorium or other laws relating to or affecting the rights and remedies of creditors generally and to general principles of equity.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7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execution, delivery and performance of this Contract by the Transferee, and the consummation by the Transferee of the transactions contemplated hereby will not (a) violate any provision of the charter, by laws or any other organizational document of the Transferee, (b) violate any provision of, or constitute a default (with or without notice or lapse of time) under, or give rise to a right of termination, cancellation or acceleration of (or entitle any party to accelerate whether after the giving of notice or lapse of time or both) any obligation under any agreement, indenture, undertaking or other instrument to which the Transferee is a party or by which it or any of its properties may be bound or affected, or (c) violate any law, statute, ordinance, rule or regulation or any judgment, injunction, order or decree, the violation of which could have a materially adverse effect on the business, operations, assets or financial condition of the Transferee.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Transferee undertakes that, the new income, credits and debts of the Object Company generated outside the result of the audit and evaluation during the period from the base date to the transfer and Delivery Date of the Equity Interest, shall be enjoyed and borne by the Transferors.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34 Undertakings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7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hereby agrees with and undertakes to the Transferee that, from the date hereof and prior to the Delivery Date, the Object Company shall, and the Transferors shall procure the Object Company to, provide to the Transferee and such representatives of the Transferee who are directly involved in and, at the reasonable request of the Transferee, to potential financing sources in connection with the transactions contemplated hereby (the </w:t>
            </w:r>
            <w:r w:rsidDel="00000000" w:rsidR="00000000" w:rsidRPr="00000000">
              <w:rPr>
                <w:rFonts w:ascii="Times New Roman" w:cs="Times New Roman" w:eastAsia="Times New Roman" w:hAnsi="Times New Roman"/>
                <w:b w:val="1"/>
                <w:color w:val="000000"/>
                <w:sz w:val="20"/>
                <w:szCs w:val="20"/>
                <w:rtl w:val="0"/>
              </w:rPr>
              <w:t xml:space="preserve">“Transferee’s Representatives”</w:t>
            </w:r>
            <w:r w:rsidDel="00000000" w:rsidR="00000000" w:rsidRPr="00000000">
              <w:rPr>
                <w:rFonts w:ascii="Times New Roman" w:cs="Times New Roman" w:eastAsia="Times New Roman" w:hAnsi="Times New Roman"/>
                <w:color w:val="000000"/>
                <w:sz w:val="20"/>
                <w:szCs w:val="20"/>
                <w:rtl w:val="0"/>
              </w:rPr>
              <w:t xml:space="preserve">), reasonable access to the Object Company’s offices, properties, books and records, officers, counsel, accountants and contracts during normal business hours, in order for the Transferee and the Transferee’s Representatives to have an opportunity to make such investigations of the affairs of the Object Company and its business; provided, however, that any on-site investigation shall be upon reasonable prior notice and shall not unreasonably disrupt the personnel and operations of the Object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7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the terms and conditions herein provided and prior the Delivery Date, each of the Transferors and the Transferee agrees to, from time to time, whether before, at or after the Delivery Date, use all commercially reasonable efforts to take, or cause to be taken, all actions and to do, or cause to be done, all things necessary, proper or advisable to consummate and make effective as promptly as practicable the transactions contemplated hereby and to cooperate with the other parties in connection with the foregoing, including, without limitation, using all commercially reasonable efforts (a) to obtain all necessary consents and approvals from other parties to material loan agreements, leases and other contracts, (b) to obtain the consents, approvals, licenses, permits and authorizations that are required to be obtained from any governmental authority, (c) to prevent the entry of, or to lift or rescind, any judgments or outstanding orders, injunctions, decrees, stipulations or awards of any nature adversely affecting the ability of the parties to consummate the transactions contemplated hereby, (d) to effect all necessary registrations and filings and submissions of information requested by governmental authorities, and (e) to fulfill all conditions to the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the terms and conditions of the Contract and until the Delivery Date, the Object Company and the Transferors shall use all reasonable efforts to preserve the Object Company’s business intact, to maintain the assets business, unusual condition, results of operation or prospects of the Object Company (including the Hydropower Project) in the same condition as on the date hereof (and with respect to assets, ordinary wear and tear excepted), to keep available to the Object Company the services of persons employed by the Object Company and to preserve the goodwill of customers and others having business relations with the Object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From the date hereof up to the Delivery Date, the Transferors and the Object Company shall not, directly or indirectly, (a) solicit, initiate or encourage the submission of any inquiries, discussions or proposals or offers from any person relating to a possible disposition of any registered capital or any material portion of the assets of the Object Company, (b) continue, propose, solicit, initiate, encourage or enter into negotiations or discussions relating to a possible disposition of any registered capital or any material portion of the assets of the Object Company, (c) enter into or consummate any agreement or understanding providing for the disposition of any capital stock or any material portion of the assets of the Object Company, or (d) assist,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7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participate in or encourage any effort or attempt by any other person to do or seek any of the foregoing. The Transferors and the Object Company shall promptly notify the Transferee of, and communicate to the Transferee the terms of, any such inquiry, proposal or request for information received by, or negotiations or discussions sought with, the Object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35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7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and the Transferee (the </w:t>
            </w:r>
            <w:r w:rsidDel="00000000" w:rsidR="00000000" w:rsidRPr="00000000">
              <w:rPr>
                <w:rFonts w:ascii="Times New Roman" w:cs="Times New Roman" w:eastAsia="Times New Roman" w:hAnsi="Times New Roman"/>
                <w:b w:val="1"/>
                <w:color w:val="000000"/>
                <w:sz w:val="20"/>
                <w:szCs w:val="20"/>
                <w:rtl w:val="0"/>
              </w:rPr>
              <w:t xml:space="preserve">“Indemnifying Party”</w:t>
            </w:r>
            <w:r w:rsidDel="00000000" w:rsidR="00000000" w:rsidRPr="00000000">
              <w:rPr>
                <w:rFonts w:ascii="Times New Roman" w:cs="Times New Roman" w:eastAsia="Times New Roman" w:hAnsi="Times New Roman"/>
                <w:color w:val="000000"/>
                <w:sz w:val="20"/>
                <w:szCs w:val="20"/>
                <w:rtl w:val="0"/>
              </w:rPr>
              <w:t xml:space="preserve">) hereby agrees to jointly and severally indemnify, reimburse and hold the counterpart (including its successors and permitted assignees) and including, after the Delivery Date, the Object Company harmless from and against, any one or more of the following (without duplication): (a) any and all Damages arising out of or resulting from a misrepresentation or breach of warranty of any of the Transferors and the Transferee contained in the Contract or in any exhibit or annex hereto, and (b) any and all Damages arising out of or resulting from any breach of any covenant or obligation of any of the Transferors and the Transferee contained in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Ten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7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Dismissal of Employees and Employees’s leaving office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7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Employees of the Object Company shall be resettled by the Transferors and the labor contracts, employment contracts and other legal relations shall be terminated.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expenses arising from resettling the Employees of the Object Company by the Transferors shall be borne by the Transferors. If the resettlement dispute between the transferors and the Employees results in Claims against the Object Company by the Employees after the Equity Interest Transfer is completed and the Object Company suffers losses therefrom, the Object Company and the Transferee are entitled be fully compensated for its loss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7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Damages from the Transferors.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Transferors agree that when they resettle the original Employees of the Object Company, they shall not cause any adverse influence on the Object Company, the Object Equity Interest, the management, handover and ongoing work of the Hydropower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the original Employees of the Object Company terminate their labor relations, employment relations or terminate their other work relations with the Object Company and leave the Object Company, the Transferee shall appoint a representative to participate in the outgoing employees’ job handover with the Object Company or the Transferors. The Transferors agree that all outgoing employees will only leave their position after they complete all job handover procedures and such handover obligations have been confirmed by the Transferee.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as a result of the non-cooperation and non-coordination of the original Employees of the Object Company in the leave-office handovers before the Delivery Date, the Object Company or the Transferee suffers Damages therefrom, the Transferors shall fully compensate the Transferee for its loss and Damages.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Recruitment of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the Equity Interest Transfer is completed, the Transferee shall employ operational and managerial personnel for the Object Company through social recruitment and the original Employees of the Object Company shall be given employment priority with the Object Company upon the same conditions and terms as such original Employees enjoyed as employees with the Object Company prior to the Delivery Date. If the construction, production and business management requires and the Transferee is willing to retain the original Employees of the Object Company, the Object Company shall sign new employment contracts with the retained employees.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Eleven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8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Confidentiality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8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Upon receipt of the Disclosed Information pursuant to the provision of this Contract the receiving party shall: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Both parties shall keep the above materials and information confidential for five (5) years;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in cases when a Party needs to provide Disclosed Information to it’s employees or advisors for the purpose of this Contract, neither Party shall disclose the above materials and information to any Third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Article 38.1 shall not apply to the following cases: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Before the disclosing party discloses the information to the receiving party, the receiving party already known the information or the receiving party can prove the materials and information may be known through other legal channels.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materials and information have become public material and information not as a result of any breach of the Contract by the receiving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receiving party obtains the materials and information from the Third Party who is not subject to any confidentiality obligations.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materials and information must be disclosed pursuant to applicable laws and regulations.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Twelve Breach Of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8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either the Transferors or the Transferee fail to obtain internal approval and authorization or due to a reason attributable to one party, or this Contract is made invalid or impossible to be fulfilled, it shall be deemed a breach of this Contract by such party. The breaching party shall pay the non-breaching party 1% of the Purchase Price as liquidated Damages. If the non-breaching party’s economic losses suffered in executing and fulfilling this Contract is not fully covered and remedied by the liquidated Damages, then the breaching party shall compensate the non-breaching party for the rest of such economic losses as stated under this Article.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Transferors, prior to the date this Contract is executed, have not disclosed all the matters that may impact the legal existence of the Object Company and the Hydropower Project whereby, the legal existence of the Object Company and the Hydropower Project is impacted after the Equity Interest Transfer is completed, the Transferee is entitled to terminate this Contract and to require the Transferors to pay one percentage ( 1%) of the Equity Interest Transfer Price to the Transferee as liquidated Damages.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either the Transferors or the Transferee has a delay in fulfilling the contract obligations, it shall be deemed a breach of this Contract. However, the following cases shall not be deemed a breach of this Contract: The other party shall be the first to fulfill its obligations yet it has a delay fulfilling its obligations, or the other party does not fulfill its obligations, or the other party has an obligation to give cooperation and assistance yet does not do it, consequently the party is unable to make timely fulfillment of the Contract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delaying party as hereinbefore set out, shall pay the non-defaulting party liquidated Damages based on the Purchase Price and at the rate for annual bank loan announced by the People’s Bank of China.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r>
    </w:p>
    <w:tbl>
      <w:tblPr>
        <w:tblStyle w:val="Table8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During the period from the date of execution of the Contract to the Delivery Date, if the Transferors commit any act that damages the assets, rights and interests of the Object Company and the Object Equity Interest, it shall be deemed a breach of the Contract by the Transferors. The Transferors shall be liable to compensate the Transferee or the Object Company for any Damages arising from its breach of the Contract. The Transferee is entitled to use its own name or use the name of the Object Company after the Equity Interest transfer is completed to seek compensation from the Transferors.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party terminates or dismisses this Contract without justified reasons, or due to reasons attributable to one party, the Contract is made invalid fully or partially, it shall be deemed a breach of the Contract. The breaching party shall pay the non-defaulting party one percentage ( 1%) of the Purchase Price as liquidated Damages. If the non-breaching party’s economic losses suffered in executing and fulfilling this Contract is not fully covered and remedied by the liquidated Damages, then the breaching party shall compensate the non-breaching party for the remainder of such economic losses.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party violates this Contract obligations, representations and warranties, it shall be deemed a breach of this Contract and the breaching party shall compensate the other party the losses incurred by the breach.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of the Transferors breaches this Contract, it shall be deemed that all the Transferors collectively have breached this Contract and all the Transferors shall bear joint liability for the breach of any single breaching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assets of the Object Company’s Hydropower Project handed over by the Transferors to the Transferee have any damage or loss compared with that confirmed by the audit and due diligence as of the Base Date, the Transferors shall be liable to the Transferee for such loss and damage.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Thirteen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9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Force Majeure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9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“Force Majeure”</w:t>
            </w:r>
            <w:r w:rsidDel="00000000" w:rsidR="00000000" w:rsidRPr="00000000">
              <w:rPr>
                <w:rFonts w:ascii="Times New Roman" w:cs="Times New Roman" w:eastAsia="Times New Roman" w:hAnsi="Times New Roman"/>
                <w:color w:val="000000"/>
                <w:sz w:val="20"/>
                <w:szCs w:val="20"/>
                <w:rtl w:val="0"/>
              </w:rPr>
              <w:t xml:space="preserve"> refers to the special incidents or events, including earthquake, typhoon, flood, fire, war, political unrest, etc., or events that are deemed to be Force Majeure pursuant to relevant laws and regulations of China.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event of a Force Majeure event, the obligations of the party affected by such event and any time period binding on such affected party shall pause and be extended automatically during the period of the Force Majeure event. The affected party shall not bear any liability of breach of the Contract as provided therein in such situations.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Party claiming the occurrence of a Force Majeure event shall promptly inform the other Party in writing within seven (7) days of the occurrence, and shall provide sufficient evidence (notarized) of the occurrence and the continuation of the Force Majeure event. The party shall do its best to eliminate the adverse effect of the Force Majeure event on the fulfillment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Fourteen Resolution of Disputes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9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Arbitration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9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Parties have disputes relating to the Contract, it shall first be resolved through friendly consultation. If the dispute cannot be resolved through friendly consultation, any Party may submit the dispute to Shanghai branch of China International Economic and Trade Arbitration Commission (hereinafter referred to as </w:t>
            </w:r>
            <w:r w:rsidDel="00000000" w:rsidR="00000000" w:rsidRPr="00000000">
              <w:rPr>
                <w:rFonts w:ascii="Times New Roman" w:cs="Times New Roman" w:eastAsia="Times New Roman" w:hAnsi="Times New Roman"/>
                <w:b w:val="1"/>
                <w:color w:val="000000"/>
                <w:sz w:val="20"/>
                <w:szCs w:val="20"/>
                <w:rtl w:val="0"/>
              </w:rPr>
              <w:t xml:space="preserve">“CIETAC”</w:t>
            </w:r>
            <w:r w:rsidDel="00000000" w:rsidR="00000000" w:rsidRPr="00000000">
              <w:rPr>
                <w:rFonts w:ascii="Times New Roman" w:cs="Times New Roman" w:eastAsia="Times New Roman" w:hAnsi="Times New Roman"/>
                <w:color w:val="000000"/>
                <w:sz w:val="20"/>
                <w:szCs w:val="20"/>
                <w:rtl w:val="0"/>
              </w:rPr>
              <w:t xml:space="preserve">) for arbitration pursuant to the prevailing CIETAC arbitration rules.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9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arbitration tribunal shall be constituted by three (3) arbitrators. The claimant shall select and appoint or, the claimants shall jointly select and appoint, as the case may be, one (1) arbitrator. Failing to perform such selection and appointment within twenty (20) days after service of the notice for arbitration, the Chairman of CIETAC shall select and appoint such arbitrator;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respondent shall select and appoint, or the respondents shall jointly select and appoint, as the case may be, one (1) arbitrator. Failing to perform such selection and appointment within twenty (20) days after service of the notice for arbitration, the Chairman of CIETAC shall select and appoint such arbitrator.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Both arbitrators shall be selected and appointed, as specified above, within thirty (30) days after receiving the notice for arbitration.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third arbitrator shall be jointly selected and appointed by the claimant(s) and respondent(s) and failing an agreement in respect thereof selected and appointed by the Chairman of CIETAC upon the joint authorization of the claimant(s) and respondent(s). In case the claimant(s) and respondent(s) fail to jointly select and appoint the third arbitrator or fail to jointly entrust the Chairman of CIETAC to appoint the third arbitrator within twenty (20) days from the date on which the respondent(s) receives (or receive) the notice for arbitration, the third arbitrator will be appointed by the Chairman of CIETAC. The third arbitrator will act as the presiding arbitrator.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arbitration proceedings shall be conducted in Mandarin.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Validity of the Arbitration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arbitration award issued by CIETAC shall be final and shall be binding on each party. Each party to this Contract agrees to be bound by said award, and to act pursuant to the terms of the said award.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Continuation of Rights and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a dispute has occurred and during its arbitration process, other than the disputed matter, each party to this Contract shall continue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its other respective rights under this Contract, and shall continue to implement its other respective obligations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Fifteen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9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establishment, validity, interpretation and implementation of the Contract shall be governed and bound by the laws and regulations of the PRC. All disputes arising out of the Contract shall be determined pursuant to the laws of PRC. In the event the laws of the PRC do not have provision on a certain issue relating to this Contract, a reference shall be made to the general international business practice.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Sixteen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9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Guarantee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9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Guangsha Enterprise Investment Holding Co., Ltd shall guarantee the obligations of the Transferors under this Contract in the form attached to this Contract as Appendix 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non-exercise or delay in exercise of any right under this Contract shall not be deemed a waiver of the said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pPr>
      <w:r w:rsidDel="00000000" w:rsidR="00000000" w:rsidRPr="00000000">
        <w:rPr>
          <w:rtl w:val="0"/>
        </w:rPr>
      </w:r>
    </w:p>
    <w:tbl>
      <w:tblPr>
        <w:tblStyle w:val="Table10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Amendment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Amendment of this Contract is only effective if in writing signed by all Parties to this Contract. Provided that, if any approval by relevant administrative departments is required pursuant to the law of China, it shall be approved by such competent administrative departments before such amendment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0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invalidity of any article in the Contract shall not affect the validity of the other articles in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Agreement is written in both English and Chinese and both versions are of equal effect. In the event of any inconsistency or error in translation between the English and Chinese versions, the Chinese version shall prevail.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Validity of the Contract and Appendix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10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Contract shall be effective upon the seals affixed by the parties and approval by the Examination and Approval Authority.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preceding contracts or documents executed by the parties in relation to the Object Equity Interest Transfer shall be subject to this Contract if they are inconsistent with this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Contract has 10 original copies executed in Mandarin with each of the three (3) parties keeping two (2) copies and the remaining four (4) copies for record filing.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appendix of the Contract is inseparable and integral part of the Contract and shall have equal validity as the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pPr>
      <w:r w:rsidDel="00000000" w:rsidR="00000000" w:rsidRPr="00000000">
        <w:rPr>
          <w:rtl w:val="0"/>
        </w:rPr>
      </w:r>
    </w:p>
    <w:tbl>
      <w:tblPr>
        <w:tblStyle w:val="Table10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Notification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10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otherwise provided in the Contract, any notice or written communication sent by one party to the other party as per the Contract, shall be written in Chinese and English and shall be sent by a courier service. All notices shall be deemed to be received on the fifth day after posting day (subject to the postal seal) as per the correspondence addresses specified by the Contract. If the date of actual receipt is earlier than the said time, the date of actual receipt shall be the date of receipt.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notices and correspondences shall be sent to the following addresses unless the other party gives written notice to update such addresses.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08"/>
        <w:tblW w:w="9360.0" w:type="dxa"/>
        <w:jc w:val="left"/>
        <w:tblInd w:w="0.0" w:type="pct"/>
        <w:tblLayout w:type="fixed"/>
        <w:tblLook w:val="0600"/>
      </w:tblPr>
      <w:tblGrid>
        <w:gridCol w:w="381.60469667318984"/>
        <w:gridCol w:w="381.60469667318984"/>
        <w:gridCol w:w="1964.5009784735814"/>
        <w:gridCol w:w="381.60469667318984"/>
        <w:gridCol w:w="6250.684931506849"/>
        <w:tblGridChange w:id="0">
          <w:tblGrid>
            <w:gridCol w:w="381.60469667318984"/>
            <w:gridCol w:w="381.60469667318984"/>
            <w:gridCol w:w="1964.5009784735814"/>
            <w:gridCol w:w="381.60469667318984"/>
            <w:gridCol w:w="6250.68493150684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Transferors’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 Yugu Road, Hangzhou City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0571-87969988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0571-87963818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CHENG Gang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09"/>
        <w:tblW w:w="9360.0" w:type="dxa"/>
        <w:jc w:val="left"/>
        <w:tblInd w:w="0.0" w:type="pct"/>
        <w:tblLayout w:type="fixed"/>
        <w:tblLook w:val="0600"/>
      </w:tblPr>
      <w:tblGrid>
        <w:gridCol w:w="381.60469667318984"/>
        <w:gridCol w:w="381.60469667318984"/>
        <w:gridCol w:w="1964.5009784735814"/>
        <w:gridCol w:w="381.60469667318984"/>
        <w:gridCol w:w="6250.684931506849"/>
        <w:tblGridChange w:id="0">
          <w:tblGrid>
            <w:gridCol w:w="381.60469667318984"/>
            <w:gridCol w:w="381.60469667318984"/>
            <w:gridCol w:w="1964.5009784735814"/>
            <w:gridCol w:w="381.60469667318984"/>
            <w:gridCol w:w="6250.68493150684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Transferee’s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 Tower C2, Sunshine Plaza, 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Anlilu, Chaoyang District, Beijing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010—64928483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010—64961540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Wei-wei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Article 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Appendix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tbl>
      <w:tblPr>
        <w:tblStyle w:val="Table1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Appendix 1 Audit Report by September 30, 2007 by Beijing Jingdu CPA Limited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Appendix 2 Index to Information Disclosed by the Transferors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1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Appendix 3 List of Original Bank Loans ending on September 30, 2007 audited by Beijing Jingdu CPA Limited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Appendix 4 Letter of Security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Appendix 5 Assets Assessment Report by September 30, 2007 affirmed by the Assets Evaluation Company Limited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Appendix 6 Restructuring Details and Measures for credits and debts of the Object Company in its Equity Interest Transfer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Appendix 7 Letter of Undertaking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pPr>
      <w:r w:rsidDel="00000000" w:rsidR="00000000" w:rsidRPr="00000000">
        <w:rPr/>
        <w:drawing>
          <wp:inline distB="19050" distT="19050" distL="19050" distR="19050">
            <wp:extent cx="5210175" cy="7343775"/>
            <wp:effectExtent b="0" l="0" r="0" t="0"/>
            <wp:docPr descr="(GRAPHIC)" id="2" name="image7.gif"/>
            <a:graphic>
              <a:graphicData uri="http://schemas.openxmlformats.org/drawingml/2006/picture">
                <pic:pic>
                  <pic:nvPicPr>
                    <pic:cNvPr descr="(GRAPHIC)" id="0" name="image7.gif"/>
                    <pic:cNvPicPr preferRelativeResize="0"/>
                  </pic:nvPicPr>
                  <pic:blipFill>
                    <a:blip r:embed="rId5"/>
                    <a:srcRect b="0" l="0" r="0" t="0"/>
                    <a:stretch>
                      <a:fillRect/>
                    </a:stretch>
                  </pic:blipFill>
                  <pic:spPr>
                    <a:xfrm>
                      <a:off x="0" y="0"/>
                      <a:ext cx="5210175" cy="73437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ffffff"/>
          <w:sz w:val="2"/>
          <w:szCs w:val="2"/>
        </w:rPr>
      </w:pPr>
      <w:r w:rsidDel="00000000" w:rsidR="00000000" w:rsidRPr="00000000">
        <w:rPr>
          <w:rFonts w:ascii="Times New Roman" w:cs="Times New Roman" w:eastAsia="Times New Roman" w:hAnsi="Times New Roman"/>
          <w:b w:val="1"/>
          <w:color w:val="ffffff"/>
          <w:sz w:val="2"/>
          <w:szCs w:val="2"/>
          <w:rtl w:val="0"/>
        </w:rPr>
        <w:t xml:space="preserve">ore text hereinafter]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ffffff"/>
          <w:sz w:val="2"/>
          <w:szCs w:val="2"/>
        </w:rPr>
      </w:pPr>
      <w:r w:rsidDel="00000000" w:rsidR="00000000" w:rsidRPr="00000000">
        <w:rPr>
          <w:rFonts w:ascii="Times New Roman" w:cs="Times New Roman" w:eastAsia="Times New Roman" w:hAnsi="Times New Roman"/>
          <w:color w:val="ffffff"/>
          <w:sz w:val="2"/>
          <w:szCs w:val="2"/>
          <w:rtl w:val="0"/>
        </w:rPr>
        <w:t xml:space="preserve">IN “WITNESS WHEREOF, the duly authorized representatives of Party A, Party B and Party C have signed this Contract on the date borne on the first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ffffff"/>
          <w:sz w:val="2"/>
          <w:szCs w:val="2"/>
        </w:rPr>
      </w:pPr>
      <w:r w:rsidDel="00000000" w:rsidR="00000000" w:rsidRPr="00000000">
        <w:rPr>
          <w:rFonts w:ascii="Times New Roman" w:cs="Times New Roman" w:eastAsia="Times New Roman" w:hAnsi="Times New Roman"/>
          <w:b w:val="1"/>
          <w:color w:val="ffffff"/>
          <w:sz w:val="2"/>
          <w:szCs w:val="2"/>
          <w:rtl w:val="0"/>
        </w:rPr>
        <w:t xml:space="preserve">Party A: China Hydroe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ffffff"/>
          <w:sz w:val="2"/>
          <w:szCs w:val="2"/>
        </w:rPr>
      </w:pPr>
      <w:r w:rsidDel="00000000" w:rsidR="00000000" w:rsidRPr="00000000">
        <w:rPr>
          <w:rFonts w:ascii="Times New Roman" w:cs="Times New Roman" w:eastAsia="Times New Roman" w:hAnsi="Times New Roman"/>
          <w:color w:val="ffffff"/>
          <w:sz w:val="2"/>
          <w:szCs w:val="2"/>
          <w:rtl w:val="0"/>
        </w:rPr>
        <w:t xml:space="preserve">Signature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ffffff"/>
          <w:sz w:val="2"/>
          <w:szCs w:val="2"/>
        </w:rPr>
      </w:pPr>
      <w:r w:rsidDel="00000000" w:rsidR="00000000" w:rsidRPr="00000000">
        <w:rPr>
          <w:rFonts w:ascii="Times New Roman" w:cs="Times New Roman" w:eastAsia="Times New Roman" w:hAnsi="Times New Roman"/>
          <w:b w:val="1"/>
          <w:color w:val="ffffff"/>
          <w:sz w:val="2"/>
          <w:szCs w:val="2"/>
          <w:rtl w:val="0"/>
        </w:rPr>
        <w:t xml:space="preserve">Party B: Zhejiang Guangsha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ffffff"/>
          <w:sz w:val="2"/>
          <w:szCs w:val="2"/>
        </w:rPr>
      </w:pPr>
      <w:r w:rsidDel="00000000" w:rsidR="00000000" w:rsidRPr="00000000">
        <w:rPr>
          <w:rFonts w:ascii="Times New Roman" w:cs="Times New Roman" w:eastAsia="Times New Roman" w:hAnsi="Times New Roman"/>
          <w:color w:val="ffffff"/>
          <w:sz w:val="2"/>
          <w:szCs w:val="2"/>
          <w:rtl w:val="0"/>
        </w:rPr>
        <w:t xml:space="preserve">Representative’s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color w:val="ffffff"/>
          <w:sz w:val="2"/>
          <w:szCs w:val="2"/>
        </w:rPr>
      </w:pPr>
      <w:r w:rsidDel="00000000" w:rsidR="00000000" w:rsidRPr="00000000">
        <w:rPr>
          <w:rFonts w:ascii="Times New Roman" w:cs="Times New Roman" w:eastAsia="Times New Roman" w:hAnsi="Times New Roman"/>
          <w:b w:val="1"/>
          <w:color w:val="ffffff"/>
          <w:sz w:val="2"/>
          <w:szCs w:val="2"/>
          <w:rtl w:val="0"/>
        </w:rPr>
        <w:t xml:space="preserve">Party C: Zhejiang Guangsha Hydropower Investment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ffffff"/>
          <w:sz w:val="2"/>
          <w:szCs w:val="2"/>
        </w:rPr>
      </w:pPr>
      <w:r w:rsidDel="00000000" w:rsidR="00000000" w:rsidRPr="00000000">
        <w:rPr>
          <w:rFonts w:ascii="Times New Roman" w:cs="Times New Roman" w:eastAsia="Times New Roman" w:hAnsi="Times New Roman"/>
          <w:color w:val="ffffff"/>
          <w:sz w:val="2"/>
          <w:szCs w:val="2"/>
          <w:rtl w:val="0"/>
        </w:rPr>
        <w:t xml:space="preserve">Representative’s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sz w:val="2"/>
          <w:szCs w:val="2"/>
        </w:rPr>
      </w:pPr>
      <w:r w:rsidDel="00000000" w:rsidR="00000000" w:rsidRPr="00000000">
        <w:rPr>
          <w:rFonts w:ascii="Times New Roman" w:cs="Times New Roman" w:eastAsia="Times New Roman" w:hAnsi="Times New Roman"/>
          <w:color w:val="ffffff"/>
          <w:sz w:val="2"/>
          <w:szCs w:val="2"/>
          <w:rtl w:val="0"/>
        </w:rPr>
        <w:t xml:space="preserve">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Appendix 1 — Audit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Zhejiang Jingning Yingchuan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Hydroelectric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Sep. 30,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13"/>
        <w:tblW w:w="9359.999999999998" w:type="dxa"/>
        <w:jc w:val="left"/>
        <w:tblInd w:w="0.0" w:type="pct"/>
        <w:tblLayout w:type="fixed"/>
        <w:tblLook w:val="0600"/>
      </w:tblPr>
      <w:tblGrid>
        <w:gridCol w:w="7837.553675992192"/>
        <w:gridCol w:w="380.61158100195195"/>
        <w:gridCol w:w="380.61158100195195"/>
        <w:gridCol w:w="380.61158100195195"/>
        <w:gridCol w:w="380.61158100195195"/>
        <w:tblGridChange w:id="0">
          <w:tblGrid>
            <w:gridCol w:w="7837.553675992192"/>
            <w:gridCol w:w="380.61158100195195"/>
            <w:gridCol w:w="380.61158100195195"/>
            <w:gridCol w:w="380.61158100195195"/>
            <w:gridCol w:w="380.61158100195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audit report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balance sheet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income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statement of changes in ownership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 of financial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114"/>
        <w:tblW w:w="9360.000000000002" w:type="dxa"/>
        <w:jc w:val="left"/>
        <w:tblInd w:w="0.0" w:type="pct"/>
        <w:tblLayout w:type="fixed"/>
        <w:tblLook w:val="0600"/>
      </w:tblPr>
      <w:tblGrid>
        <w:gridCol w:w="1277.8529754959163"/>
        <w:gridCol w:w="390.0650108351392"/>
        <w:gridCol w:w="4563.760626771129"/>
        <w:gridCol w:w="390.0650108351392"/>
        <w:gridCol w:w="2738.2563760626776"/>
        <w:tblGridChange w:id="0">
          <w:tblGrid>
            <w:gridCol w:w="1277.8529754959163"/>
            <w:gridCol w:w="390.0650108351392"/>
            <w:gridCol w:w="4563.760626771129"/>
            <w:gridCol w:w="390.0650108351392"/>
            <w:gridCol w:w="2738.25637606267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6858000" cy="4029075"/>
                  <wp:effectExtent b="0" l="0" r="0" t="0"/>
                  <wp:docPr descr="(BDO LOGO)" id="4" name="image9.gif"/>
                  <a:graphic>
                    <a:graphicData uri="http://schemas.openxmlformats.org/drawingml/2006/picture">
                      <pic:pic>
                        <pic:nvPicPr>
                          <pic:cNvPr descr="(BDO LOGO)" id="0" name="image9.gif"/>
                          <pic:cNvPicPr preferRelativeResize="0"/>
                        </pic:nvPicPr>
                        <pic:blipFill>
                          <a:blip r:embed="rId6"/>
                          <a:srcRect b="0" l="0" r="0" t="0"/>
                          <a:stretch>
                            <a:fillRect/>
                          </a:stretch>
                        </pic:blipFill>
                        <pic:spPr>
                          <a:xfrm>
                            <a:off x="0" y="0"/>
                            <a:ext cx="6858000" cy="4029075"/>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Dehao International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Beijing Jingdu Certified Public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Dehao International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Beijing Jingdu Certified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Accountants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Scitech Place 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Jianguomenwai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Accountants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Avenue No. 22, Beijing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 Code: 100004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86-10-65264838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86-10-65227521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Translation)Beijing JINGDUSHENZI (2007) No. 1314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Hydroelectric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audited the enclosed financial statements of Yingchuan Hydroelectric Development Co., Ltd. in Jingning Country, Zhejiang Province (hereinafter refered to as “Yingchuan Hydroelectric Company”), including the balance sheet on Dec. 31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2006 and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 the income statement and the notes of financial statements of 2006 and Jan. to Sep.,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Management Personnel’s responsibilities for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management Personnel of Yingchuan Hydroelectric Company is responsible for the preparation and fair presentation of these financial statements in accordance with the Accounting Standards for Business Enterprises and China Accounting System for Business Enterprises. The responsibilities include: (i) designing, implementing and maintaining internal control relevant to the preparation and fair presentation of financial statements that are free from material misstatement, whether due to fraud or error;(ii) selecting and applying appropriate accounting policies; (iii) making reasonable accounting estimates.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Auditor’s 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responsibility is to express an opinion on the financial statements based on the auditing task. We have performed the auditing task under the provision of CICPA auditing guideline. CICPA auditing guideline requires us to comply with the professional ethics, to plan and perform audit tasks to obtain reasonable assurance on whether the financial statements are free from material misstatement.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audit involves performing procedures to obtain audit evidence regarding the amounts and disclosures in the financial statements. The procedures selection is depended on the auditor’s judgment, including the assessment of the risks of material misstatement of the financial statements, whether due to fraud or error. In making those risk assessments, the auditor considers internal control relevant to the entity’s preparation and fair presentation of the financial statements in order to design audit procedures that are appropriate in the circumstances, but not for the purpose of expressing an opinion on the effectiveness of the entity’s internal control. An audit also includes evaluating the appropriateness of accounting policies used and the reasonableness of accounting estimates made by management, as well as evaluating the overall presentation of the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believe that the audit evidence we have obtained is sufficient and appropriate to provide a basis for our audit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r>
    </w:p>
    <w:tbl>
      <w:tblPr>
        <w:tblStyle w:val="Table115"/>
        <w:tblW w:w="9360.0" w:type="dxa"/>
        <w:jc w:val="left"/>
        <w:tblInd w:w="0.0" w:type="pct"/>
        <w:tblLayout w:type="fixed"/>
        <w:tblLook w:val="0600"/>
      </w:tblPr>
      <w:tblGrid>
        <w:gridCol w:w="1164.3134872417984"/>
        <w:gridCol w:w="355.4070473876063"/>
        <w:gridCol w:w="4158.262454434994"/>
        <w:gridCol w:w="355.4070473876063"/>
        <w:gridCol w:w="3326.609963547995"/>
        <w:tblGridChange w:id="0">
          <w:tblGrid>
            <w:gridCol w:w="1164.3134872417984"/>
            <w:gridCol w:w="355.4070473876063"/>
            <w:gridCol w:w="4158.262454434994"/>
            <w:gridCol w:w="355.4070473876063"/>
            <w:gridCol w:w="3326.609963547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6858000" cy="4029075"/>
                  <wp:effectExtent b="0" l="0" r="0" t="0"/>
                  <wp:docPr descr="(BDO LOGO)" id="3" name="image8.gif"/>
                  <a:graphic>
                    <a:graphicData uri="http://schemas.openxmlformats.org/drawingml/2006/picture">
                      <pic:pic>
                        <pic:nvPicPr>
                          <pic:cNvPr descr="(BDO LOGO)" id="0" name="image8.gif"/>
                          <pic:cNvPicPr preferRelativeResize="0"/>
                        </pic:nvPicPr>
                        <pic:blipFill>
                          <a:blip r:embed="rId7"/>
                          <a:srcRect b="0" l="0" r="0" t="0"/>
                          <a:stretch>
                            <a:fillRect/>
                          </a:stretch>
                        </pic:blipFill>
                        <pic:spPr>
                          <a:xfrm>
                            <a:off x="0" y="0"/>
                            <a:ext cx="6858000" cy="4029075"/>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Dehao International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Beijing Jingdu Certified Public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Dehao International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Beijing Jingdu Certified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Accountants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Scitech Place 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Jianguomenwai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Accountants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Avenue No. 22, Beijing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 Code: 100004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86-10-65264838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86-10-65227521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Audit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believe that the financial statements of Yingchuan Hydroelectric Company have given a fair and true view of the financial situation of Dec. 31, 2006 and Sep. 30, 2007, as well as operating results of 2006 and Jan. to Sep., 2007 in accordance with the Accounting Standards for Business Enterprises and China Accounting System for Business Enterprises.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16"/>
        <w:tblW w:w="9360.0" w:type="dxa"/>
        <w:jc w:val="left"/>
        <w:tblInd w:w="0.0" w:type="pct"/>
        <w:tblLayout w:type="fixed"/>
        <w:tblLook w:val="0600"/>
      </w:tblPr>
      <w:tblGrid>
        <w:gridCol w:w="4212"/>
        <w:gridCol w:w="468.00000000000006"/>
        <w:gridCol w:w="4680"/>
        <w:tblGridChange w:id="0">
          <w:tblGrid>
            <w:gridCol w:w="4212"/>
            <w:gridCol w:w="468.00000000000006"/>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Certified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Accountants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Chinese Certified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Accountant(CICPA)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Chinese Certified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Accountant(CICPA)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1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Beijing·China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BALANCE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AT 30 SEPTEMBER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Translation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by: Zhejiang Jingning Yingchuan Hydroelectric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18"/>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99.882121807466"/>
        <w:gridCol w:w="398.4282907662083"/>
        <w:gridCol w:w="340.53700065487885"/>
        <w:gridCol w:w="340.53700065487885"/>
        <w:gridCol w:w="340.53700065487885"/>
        <w:gridCol w:w="398.4282907662083"/>
        <w:gridCol w:w="340.53700065487885"/>
        <w:gridCol w:w="340.53700065487885"/>
        <w:gridCol w:w="340.53700065487885"/>
        <w:gridCol w:w="398.4282907662083"/>
        <w:gridCol w:w="340.53700065487885"/>
        <w:gridCol w:w="340.53700065487885"/>
        <w:gridCol w:w="340.53700065487885"/>
        <w:tblGridChange w:id="0">
          <w:tblGrid>
            <w:gridCol w:w="5099.882121807466"/>
            <w:gridCol w:w="398.4282907662083"/>
            <w:gridCol w:w="340.53700065487885"/>
            <w:gridCol w:w="340.53700065487885"/>
            <w:gridCol w:w="340.53700065487885"/>
            <w:gridCol w:w="398.4282907662083"/>
            <w:gridCol w:w="340.53700065487885"/>
            <w:gridCol w:w="340.53700065487885"/>
            <w:gridCol w:w="340.53700065487885"/>
            <w:gridCol w:w="398.4282907662083"/>
            <w:gridCol w:w="340.53700065487885"/>
            <w:gridCol w:w="340.53700065487885"/>
            <w:gridCol w:w="340.537000654878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RMB Yuan</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2007.09.30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2007.01.01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CURRENT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228,386.62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259,959.65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Current financial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receivable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Accounts receivable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10,639,814.20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2,953,805.13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Advances to suppliers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Interest receivable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Dividends receivable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receivables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8,417,616.45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8,322,000.00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Inventories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Current maturity nonliquid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current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current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19,285,817.27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11,535,764.78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NON-CURRENT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Financial assets for sale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Hold-to-maturity investment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Long-term accounts receivable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Long-term equity investments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Investment real estate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assets — net book value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258,457,391.06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264,821,150.82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Construction in progress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supplies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Fixed assets disposal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Productive biological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Oil gas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Intangible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8,216,520.74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8,511,137.00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Exploitation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Goodwill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Long-term prepaid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of deferred income 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non-current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non-current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266,673,911.80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273,332,287.82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285,959,729.07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284,868,052.60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tbl>
      <w:tblPr>
        <w:tblStyle w:val="Table119"/>
        <w:tblW w:w="9360.000000000002" w:type="dxa"/>
        <w:jc w:val="left"/>
        <w:tblInd w:w="0.0" w:type="pct"/>
        <w:tblLayout w:type="fixed"/>
        <w:tblLook w:val="0600"/>
      </w:tblPr>
      <w:tblGrid>
        <w:gridCol w:w="2857.3958421008338"/>
        <w:gridCol w:w="393.9062368487501"/>
        <w:gridCol w:w="2857.3958421008338"/>
        <w:gridCol w:w="393.9062368487501"/>
        <w:gridCol w:w="2857.3958421008338"/>
        <w:tblGridChange w:id="0">
          <w:tblGrid>
            <w:gridCol w:w="2857.3958421008338"/>
            <w:gridCol w:w="393.9062368487501"/>
            <w:gridCol w:w="2857.3958421008338"/>
            <w:gridCol w:w="393.9062368487501"/>
            <w:gridCol w:w="2857.39584210083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in charge of accounting: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in charge of financial function: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BALANCE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AT 30 SEPTEMBER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Translation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by: Zhejiang Jingning Yingchuan Hydroelectric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0"/>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99.882121807466"/>
        <w:gridCol w:w="398.4282907662083"/>
        <w:gridCol w:w="340.53700065487885"/>
        <w:gridCol w:w="340.53700065487885"/>
        <w:gridCol w:w="340.53700065487885"/>
        <w:gridCol w:w="398.4282907662083"/>
        <w:gridCol w:w="340.53700065487885"/>
        <w:gridCol w:w="340.53700065487885"/>
        <w:gridCol w:w="340.53700065487885"/>
        <w:gridCol w:w="398.4282907662083"/>
        <w:gridCol w:w="340.53700065487885"/>
        <w:gridCol w:w="340.53700065487885"/>
        <w:gridCol w:w="340.53700065487885"/>
        <w:tblGridChange w:id="0">
          <w:tblGrid>
            <w:gridCol w:w="5099.882121807466"/>
            <w:gridCol w:w="398.4282907662083"/>
            <w:gridCol w:w="340.53700065487885"/>
            <w:gridCol w:w="340.53700065487885"/>
            <w:gridCol w:w="340.53700065487885"/>
            <w:gridCol w:w="398.4282907662083"/>
            <w:gridCol w:w="340.53700065487885"/>
            <w:gridCol w:w="340.53700065487885"/>
            <w:gridCol w:w="340.53700065487885"/>
            <w:gridCol w:w="398.4282907662083"/>
            <w:gridCol w:w="340.53700065487885"/>
            <w:gridCol w:w="340.53700065487885"/>
            <w:gridCol w:w="340.537000654878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RMB Yuan</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LIABILITIES AND SHAREHOLDERS’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2007.09.30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2007.01.01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CURRENT LIABILITIES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Short-term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Current financial liabilities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payable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Accounts payable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Advances from customers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Payable workers’salary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427,050.62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682,741.90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 payable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6,794,633.00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880,871.91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Interest payable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169,505.00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Dividends payable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9,973,267.33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payables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24,487,639.81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10,445,561.14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maturity of non-current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current liabilities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current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31,878,828.43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67,202,442.28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NON-CURRENT LIABILITIES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Long-term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Debentures payable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Payables due after one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Government grants payable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Accrued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liabilities of deferred income 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non-current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non-current liabilities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7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106,878,828.43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117,202,442.28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SHAREHOLDERS’ EQUITY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Paid-in capital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140,470,000.00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140,470,000.00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Capital surplus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treasury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Surplus 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9,595,985.22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9,595,985.22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Undistributed profits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29,014,915.42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17,599,625.10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7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shareholders’ equity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179,080,900.64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167,665,610.32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LIABILITIES AND SHAREHOLDERS’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285,959,729.07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284,868,052.60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1"/>
        <w:tblW w:w="9360.000000000002" w:type="dxa"/>
        <w:jc w:val="left"/>
        <w:tblInd w:w="0.0" w:type="pct"/>
        <w:tblLayout w:type="fixed"/>
        <w:tblLook w:val="0600"/>
      </w:tblPr>
      <w:tblGrid>
        <w:gridCol w:w="2857.3958421008338"/>
        <w:gridCol w:w="393.9062368487501"/>
        <w:gridCol w:w="2857.3958421008338"/>
        <w:gridCol w:w="393.9062368487501"/>
        <w:gridCol w:w="2857.3958421008338"/>
        <w:tblGridChange w:id="0">
          <w:tblGrid>
            <w:gridCol w:w="2857.3958421008338"/>
            <w:gridCol w:w="393.9062368487501"/>
            <w:gridCol w:w="2857.3958421008338"/>
            <w:gridCol w:w="393.9062368487501"/>
            <w:gridCol w:w="2857.39584210083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in charge of accounting: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in charge of financial function: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THE PERIOD FROM JANUARY TO SEPTEMBER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Translation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2"/>
        <w:tblW w:w="9360.0" w:type="dxa"/>
        <w:jc w:val="left"/>
        <w:tblInd w:w="0.0" w:type="pct"/>
        <w:tblLayout w:type="fixed"/>
        <w:tblLook w:val="0600"/>
      </w:tblPr>
      <w:tblGrid>
        <w:gridCol w:w="5006.9781397342485"/>
        <w:gridCol w:w="391.1701671667382"/>
        <w:gridCol w:w="334.33347621088734"/>
        <w:gridCol w:w="391.1701671667382"/>
        <w:gridCol w:w="334.33347621088734"/>
        <w:gridCol w:w="391.1701671667382"/>
        <w:gridCol w:w="334.33347621088734"/>
        <w:gridCol w:w="391.1701671667382"/>
        <w:gridCol w:w="334.33347621088734"/>
        <w:gridCol w:w="391.1701671667382"/>
        <w:gridCol w:w="334.33347621088734"/>
        <w:gridCol w:w="391.1701671667382"/>
        <w:gridCol w:w="334.33347621088734"/>
        <w:tblGridChange w:id="0">
          <w:tblGrid>
            <w:gridCol w:w="5006.9781397342485"/>
            <w:gridCol w:w="391.1701671667382"/>
            <w:gridCol w:w="334.33347621088734"/>
            <w:gridCol w:w="391.1701671667382"/>
            <w:gridCol w:w="334.33347621088734"/>
            <w:gridCol w:w="391.1701671667382"/>
            <w:gridCol w:w="334.33347621088734"/>
            <w:gridCol w:w="391.1701671667382"/>
            <w:gridCol w:w="334.33347621088734"/>
            <w:gridCol w:w="391.1701671667382"/>
            <w:gridCol w:w="334.33347621088734"/>
            <w:gridCol w:w="391.1701671667382"/>
            <w:gridCol w:w="334.333476210887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8"/>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by: Zhejiang Jingning Yingchuan Hydroelectric Development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RMB Yuan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2007.01-2007.09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2006.01-2006.12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Revenues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35,275,375.65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39,714,620.77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Operating coats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8,084,384.90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12,515,043.00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Sales tax and the extra charges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134,116.72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140,999.62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Selling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General and administrative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1,416,030.24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1,904,086.87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8,121,111.16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7,722,164.07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Loss on impairment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409,559.23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-718,717.32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gains in fair value changes (loss is expressed in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Income from investment (loss is expressed in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3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thereinto: investment income of joint ventures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Operating profit (loss is expressed in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17,110,173.40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18,151,044.53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Non-operating 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Non-operating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72,426.66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115,089.37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Thereinto: disposal losses of non-current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Profit (loss is expressed in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17,037,746.74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18,035,955.16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Income 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5,622,456.42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Net profit (loss is expressed in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11,415,290.32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18,035,955.16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tbl>
      <w:tblPr>
        <w:tblStyle w:val="Table123"/>
        <w:tblW w:w="9360.0" w:type="dxa"/>
        <w:jc w:val="left"/>
        <w:tblInd w:w="0.0" w:type="pct"/>
        <w:tblLayout w:type="fixed"/>
        <w:tblLook w:val="0600"/>
      </w:tblPr>
      <w:tblGrid>
        <w:gridCol w:w="2808"/>
        <w:gridCol w:w="468.00000000000006"/>
        <w:gridCol w:w="2808"/>
        <w:gridCol w:w="468.00000000000006"/>
        <w:gridCol w:w="2808"/>
        <w:tblGridChange w:id="0">
          <w:tblGrid>
            <w:gridCol w:w="2808"/>
            <w:gridCol w:w="468.00000000000006"/>
            <w:gridCol w:w="2808"/>
            <w:gridCol w:w="468.00000000000006"/>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in charge of accounting: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in charge of financial function: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STATEMENT OF CHANGES IN OWNERSHIP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THE PERIOD FROM JANUARY TO SEPTEMBER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Translation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4"/>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81.6494845360833"/>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tblGridChange w:id="0">
          <w:tblGrid>
            <w:gridCol w:w="1881.6494845360833"/>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gridCol w:w="336.0088365243006"/>
            <w:gridCol w:w="287.187039764359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gridSpan w:val="20"/>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by: Zhejiang Jingning Yingchuan Hydroelectric Development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Less: treasury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Undistributed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In RMB Yuan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Paid-in capital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Capital surplus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Surplus 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profits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Total owner's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I. Closing amount of the last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140,470,000.00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9,595,985.22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17,599,625.10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167,665,610.32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 accounting policy changes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7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Accounting error correction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 Beginning balance of this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140,470,000.00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9,595,985.22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17,599,625.10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167,665,610.32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III. Amount changes of this year (deducting is expressed in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Net profit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11,415,290.32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11,415,290.32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(II) Directly included in the profits and losses of the owner’s equity.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Net fair value changes of financial assets available for direct sale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2. Other owner’s equity changes’ impact of the investment unit under the Equity Method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Impact of income taxes related to owner’s equity items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 Others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(I) and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11,415,290.32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11,415,290.32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(III) The owner’s investment and reducing capital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The owner’s investment capital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2. The shares to pay are included in the amount of the owner’s equity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(IV) Profit appropriation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Withdrawal surplus 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2. Owners’ (or shareholders’) distribution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(V) The owner’s equity internal transfer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Conversion capital in capital surplus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2. Conversion capital in surplus 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Revovery of loss in surplus 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 Other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IV. Ending balances of this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140,470,000.00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9,595,985.22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29,014,915.42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179,080,900.64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tl w:val="0"/>
        </w:rPr>
      </w:r>
    </w:p>
    <w:tbl>
      <w:tblPr>
        <w:tblStyle w:val="Table125"/>
        <w:tblW w:w="9360.0" w:type="dxa"/>
        <w:jc w:val="left"/>
        <w:tblInd w:w="0.0" w:type="pct"/>
        <w:tblLayout w:type="fixed"/>
        <w:tblLook w:val="0600"/>
      </w:tblPr>
      <w:tblGrid>
        <w:gridCol w:w="2808"/>
        <w:gridCol w:w="468.00000000000006"/>
        <w:gridCol w:w="2808"/>
        <w:gridCol w:w="468.00000000000006"/>
        <w:gridCol w:w="2808"/>
        <w:tblGridChange w:id="0">
          <w:tblGrid>
            <w:gridCol w:w="2808"/>
            <w:gridCol w:w="468.00000000000006"/>
            <w:gridCol w:w="2808"/>
            <w:gridCol w:w="468.00000000000006"/>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in charge of accounting: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in charge of financial function: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 of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is no special explanation, the notes use yuan as monetary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The company’s basic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Hydroelectric Development Co., Ltd. (hereinafter referred to as “the company”) was invested and established by Zhejiang Guangsha Jingning Hydroelectric Development Co., Ltd. and Lishui Nanfang Hydroelectric Development Co., Ltd.. It registered in Jingning She Nationality Autonomous County Administration for Industry and Commerce on Aug. 26, 1998 and obtained the business license of enterprise legal person. The registration No. is 3325291000832.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beginning of the establishment, the company’s registered capital was11 million yuan. The shareholders and the investment amount were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6"/>
        <w:tblW w:w="9359.999999999996" w:type="dxa"/>
        <w:jc w:val="left"/>
        <w:tblInd w:w="0.0" w:type="pct"/>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investment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holding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Jingning Hydroelectric Development Co., Ltd.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9,560,000.00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86.91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Lishui Nanfang Hydroelectric Development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Dec. 31, 2002, The shareholders changed to Zhejiang Guangsha Joint Stock Limited Partnership and Zhejiang Guangning Hydroelectric Development Co., Ltd.. The capital increased to 64 million yuan.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shareholders and the investment amount were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7"/>
        <w:tblW w:w="9359.999999999996" w:type="dxa"/>
        <w:jc w:val="left"/>
        <w:tblInd w:w="0.0" w:type="pct"/>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investment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holding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Joint Stock Limited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54,400,000.00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Guangning Hydroelectric Development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June 24, 2003, the company’s shareholders performed capital increase. After that, the registered capital was 140.47 million yuan. The shareholders and the investment amount were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8"/>
        <w:tblW w:w="9359.999999999996" w:type="dxa"/>
        <w:jc w:val="left"/>
        <w:tblInd w:w="0.0" w:type="pct"/>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investment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holding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Joint Stock Limited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119,400,000.00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Guangning Hydroelectric Development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140,470,000.00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dicision of board of shareholders and the share transfer agreement on Jan. 18 2007, Zhejiang Guangning Hydroelectric Development Co., Ltd. Transferred all of its 15% equity to Zhejiang Guangsha Hydroelectric Development Co., Ltd.. Up to Sep. 30, 2007 the registered capital was 140.47 million yuan, the details were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9"/>
        <w:tblW w:w="9359.999999999996" w:type="dxa"/>
        <w:jc w:val="left"/>
        <w:tblInd w:w="0.0" w:type="pct"/>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investment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Holding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Joint Stock Limited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119,400,000.00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Guangsha Hydroelectric Development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140,470,000.00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shd w:fill="auto" w:val="clear"/>
        </w:rPr>
      </w:pPr>
      <w:r w:rsidDel="00000000" w:rsidR="00000000" w:rsidRPr="00000000">
        <w:rPr>
          <w:rtl w:val="0"/>
        </w:rPr>
      </w:r>
    </w:p>
    <w:tbl>
      <w:tblPr>
        <w:tblStyle w:val="Table1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Registered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Huangyangkou Village, Yingchuan Town, Jingning She Nationality Autonomous County.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Legal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Lu Chunliang;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Business Scope: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Hydropower development manufacturing, hydropower installation, hardware and building material, subsidiary agricultural products’ (exclusive of cotton, silkworm cocoon, tobacco) purchase and sale.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Preparation base for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company’s financial statements adopt continuing operating as preparation base. According to the actually happened trades and events, it is prepared in accordance with Accounting Criteria for Enterprises issued by Ministry of Finance on Feb. 15, 2006 and its application guidance.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Major accounting policy and accounting estimates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3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Financial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financial year means a calendar year starting on January 1 and ending on December 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Standard money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standard money is Renminbi (RMB).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Measurement attributes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otherwise stated, the pricing principle is based on the historical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Validation criteria for cash equivalent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Cash equivalent means those investments featuring short term (generally due within 3 months from purchase date), high mobility, easy to change into cash, and low value disturbance.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 method of bad debt loss for the account receivable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Bad debt validation criteria: a. the debtor goes into liquidation or death, and his liquidated property and heritage cannot cover the all the debts; b. the debtor fails to perform its repayment obligations overdue and it’s obvious that the debt is unable to be repaid.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entry method of bad debt loss: allowance method is used for reckoning the bad debt loss. By the end of each year, the company will draw some provisions for bad debts to the receivables (including account receivable and other receivables) according to the account age analysis method. The provision proportion is showed in the following sheet: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35"/>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Duration of account receivable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Provision proportion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Overdue within a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Overdue one-two years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Overdue two-three years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Overdue more than three years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those accounts receivable featuring conclusive evidence of the obvious difference of repayment, individual recognizing method is used to draw bad debt provision.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Fixed assets pricing and depreciation method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37"/>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Validation criteria for fixed assets: the fixed assets concurrently feature the following characteristics: 1. tangible assets; 2. high unit value; 3. service life more than one year; 4. purchased for the purposes of production, offering labour services, lease or operation management.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fixed assets pricing and depreciation method: the fixed asset is booked at the actual cost of procurement, and depreciated according to straight-line method from the next month after reaching the serviceable conditions.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salvage value rate, depreciation life and annual depreciation rate of all kinds of fixed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39"/>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Depreciation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Annual</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Fixed assets group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life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depreciation rate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Buildings and structures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4.85 — 2.16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General-purpose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Special-purpose equipment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4.85-3.88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4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validation criteria and provision method for the depreciation provision of fixed assets: by the end of each year, the company will inspect all the fixed assets. If the following factors are found, including continual downslide of market price, technical obsolescence, damage or long-term idling, then the recoverable amount is evaluated for the fixed assets so as to check whether the fixed asset is devaluated or not. If the recoverable amount is lower than the book value of the fixed assets, then the depreciation provision is drawn as the difference between the recoverable amount and the book value. Once the fixed assets depreciation provision is confirmed, it shall not be reverted in the subsequent accounting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Accounting treatment method for borrowing costs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borrowing cost occurred, if it complies to the capitalization conditions of fixed assets construction or procurement, it can be added into the corresponding assets costs; the other borrowing costs shall be determined as expenses and listed in the income statement according to the amount occurred. The assets compliant to the capitalization conditions means those assets can reach operation conditions or sales conditions after a long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4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 procurement, construction or production, including fixed assets, inventory and investment-type properties.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 method for intangible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intangible assets are initially evaluated at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intangible assets with limited service life can be rationally amortized according to the anticipation of the related economic benefits within its service life; for those without reliable and ascertained realization way, straight-line amortization method is adopted. For those intangible assets without ascertained service life, their service life shall be rechecked every year and depreciation test shall be carried out.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Validation criteria for revenue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operating revenues of the company are mainly power generation revenue. The validation criteria for revenue are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major risk and remuneration of the ownership are transferred to the buyers;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neither keeps the ownership-related management right, nor implements effective control on the sold goods;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amount of revenue can be measured reliably;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correlative economic benefits are likely to flow in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related cost occurred or to be occurred can be measured reliably.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Accounting treatment method for income tax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accounting treatment method of the corporate income tax is balance sheet debt method.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book value of assets is greater than its tax base or the book value of liabilities is less than its tax base, the liabilities of deferred income tax shall be determined; if the book value of assets is less than its tax base or the book value of liabilities is greater than its tax base, the assets of deferred income tax shall be determined.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Accounting policies changes, changes in accounting estimate and accounting error correction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Accounting policies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implemented the Accounting Standard for Business Enterprises issued by the Ministry of Finance in 2006 and its guidance from Jan.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Changes in accounting estimate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Significant accounting error correction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Major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company’s applicable taxes and tax rates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4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Corporate income tax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applicable rate of corporate income tax is 33%. Approved by the Local Taxation Bureau of Jingning She Autonomous County (JINGDISHUIZHENG [2006] No.20), the company was exempt from corporate income tax in 2006 but cannot enjoy the exemption policies any longer from January 1, 2007.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value added tax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Pay at 6% of the business income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Urban construction tax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Pay at 1% of the turnover tax payable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Education surtax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education surtax should be paid at 4% of the turnover tax payable from January to April, 2006, and at 3% of the turnover tax payable from May 1, 2006. The local education surtax should be paid at 2% of the turnover tax payable from May 1, 2006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 Notes on the financial statement’s main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4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Monetary Resources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50"/>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Cash</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338.26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438.39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deposits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228,048.36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259,521.26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228,386.62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259,959.65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 receivable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Duration of account receivables is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5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 at the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Provision for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beginning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Provision for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Duration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Bad Debts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Bad Debts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1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11,199,804.42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559,990.22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3,109,268.56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155,463.43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11,199,804.42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559,990.22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3,109,268.56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155,463.43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
          <w:szCs w:val="2"/>
        </w:rPr>
      </w:pPr>
      <w:r w:rsidDel="00000000" w:rsidR="00000000" w:rsidRPr="00000000">
        <w:rPr>
          <w:rtl w:val="0"/>
        </w:rPr>
      </w:r>
    </w:p>
    <w:tbl>
      <w:tblPr>
        <w:tblStyle w:val="Table15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Receivables are all funds of Electricity Generating Board.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receivables of related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5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receivables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5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Duration of other receivables is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56"/>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 at the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Provision for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beginning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Provision for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Duration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Bad Debts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Bad Debts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1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8,860,648.89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443,032.44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8,760,000.00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8,860,648.89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443,032.44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8,760,000.00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tl w:val="0"/>
        </w:rPr>
      </w:r>
    </w:p>
    <w:tbl>
      <w:tblPr>
        <w:tblStyle w:val="Table15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receivables’ details: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58"/>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Contents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Joint Stock Limited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8,355,648.89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current loan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Life Insurance Company Limited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premium</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Cheng Jun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deposits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8,860,648.89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
          <w:szCs w:val="2"/>
        </w:rPr>
      </w:pPr>
      <w:r w:rsidDel="00000000" w:rsidR="00000000" w:rsidRPr="00000000">
        <w:rPr>
          <w:rtl w:val="0"/>
        </w:rPr>
      </w:r>
    </w:p>
    <w:tbl>
      <w:tblPr>
        <w:tblStyle w:val="Table15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Arrears of related parties, see VII. (III)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6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Original value of fixed assets, accumulated depreciation and provision for diminution in value: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61"/>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Original value of fixed assets and accumulated depreciation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6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Original value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Increase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current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fixed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Buildings and structures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260,955,316.25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260,955,316.25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General-purpose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201,253.00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201,253.00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Special-purpose equipment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42,436,275.91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42,436,275.91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130,677.00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130,677.00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303,723,522.16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303,723,522.16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
          <w:szCs w:val="2"/>
        </w:rPr>
      </w:pPr>
      <w:r w:rsidDel="00000000" w:rsidR="00000000" w:rsidRPr="00000000">
        <w:rPr>
          <w:rtl w:val="0"/>
        </w:rPr>
      </w:r>
    </w:p>
    <w:tbl>
      <w:tblPr>
        <w:tblStyle w:val="Table16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Accumulated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Depreciation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Increase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current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Fixed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Buildings and structures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29,761,036.71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4,869,993.33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34,631,030.04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General-purpose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112,228.34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18,134.08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130,362.42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Special-purpose equipment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8,973,121.90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1,466,125.56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10,439,247.46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55,984.39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9,506.79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65,491.18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38,902,371.34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6,363,759.76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45,266,131.10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value of fixed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264,821,150.82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-6,363,759.76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258,457,391.06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
          <w:szCs w:val="2"/>
        </w:rPr>
      </w:pPr>
      <w:r w:rsidDel="00000000" w:rsidR="00000000" w:rsidRPr="00000000">
        <w:rPr>
          <w:rtl w:val="0"/>
        </w:rPr>
      </w:r>
    </w:p>
    <w:tbl>
      <w:tblPr>
        <w:tblStyle w:val="Table16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recoverable amount of a single asset in the company’s fixed assets is below the book value, therefore there is no need to draw provisions for diminution in value of fixed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Intangible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66"/>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2.440136830103"/>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tblGridChange w:id="0">
          <w:tblGrid>
            <w:gridCol w:w="1942.440136830103"/>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amortization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age limits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the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current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current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spare</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original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amortization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use right to the transmission line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10,344,304.86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8,511,137.00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294,216.26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8,216,520.74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251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10,344,304.86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8,511,137.00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294,216.26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8,216,520.74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recoverable amount of the intangible assets is below the book value, therefore there is no need to draw provisions for diminution in value of intangible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Short-term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67"/>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Loan Conditions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guaranteed loan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of the guaranteed loan at the beginning of the year was Zhejiang Guangsha Hydroelectric Investment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Payable workers’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68"/>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Increase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decrease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wage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476,889.50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796,889.50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workers’ welfarism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247,123.53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66,235.33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302,358.86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Social Insurance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64,004.82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15,370.40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15,759.20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63,616.02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labour union outlay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51,613.55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9,462.19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61,075.74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682,741.90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567,957.42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823,648.70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427,050.62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8.Taxes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69"/>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 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Value added 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952,039.29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330,991.59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Urban construction 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9,635.16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3,309.91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Individual income 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595.00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530.00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Stamp duty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5,087.42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862.97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Education surtax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48,175.79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16,549.57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funds for water conservancy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16,279.73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2,227.87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Water resource cost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1,200,806.10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389,900.00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Small hydropower station management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420,317.13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Corporate income 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4,472,694.86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7,125,630.48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880,871.91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Interest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0"/>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on bank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169,505.00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169,505.00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Dividend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1"/>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Guangsha Joint Stock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9,973,267.33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9,973,267.33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Other accounts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2"/>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balance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Fund discription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Hydroelectric Development Co., Ltd.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22,881,639.81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current loan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Lishui Oujiang Electricity Generating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for the use of state funds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Institute Hydraulics &amp; Estuary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Consulting fee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Luishui Electric Power Association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Dues of the hydropower guild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Jingning Feihe Hydroelectric Company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10kv circuital maintenance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24,487,639.81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Current maturity of non-current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3"/>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Guaranteed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Long-term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4"/>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Balance at the beginning</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Loan categorie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balance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the 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Guaranteed loans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Mortgage loan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guaranty of the mortgage loan is the property of the power station of our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guarantor of all the guaranteed loans is Guangsha Building Group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Paid-up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2.440136830103"/>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tblGridChange w:id="0">
          <w:tblGrid>
            <w:gridCol w:w="1942.440136830103"/>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gridCol w:w="346.8643101482327"/>
            <w:gridCol w:w="296.4652223489168"/>
            <w:gridCol w:w="296.4652223489168"/>
            <w:gridCol w:w="296.46522234891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 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Increase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Decrease of the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 of the year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Proportion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Joint Stock Limited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119,400,000.00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119,400,000.00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Guangning Hydroelectric Development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Hydroelectric Investment Co.,Ltd.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21,070,000.00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140,470,000.00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140,470,000.00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decision of board of shareholders on Jan. 18, 2007, Zhejiang Guangning Hydroelectric Development Co., Ltd. transferred all its 15% equity to Zhejiang Guangsha Hydroelectric Investment Co., Ltd.. After that, Zhejiang Guangsha Hydroelectric Investment Co., Ltd. had 15% of the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Surplus 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6"/>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Increase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the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decrease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9,595,985.22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9,595,985.22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9,595,985.22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9,595,985.22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Unappropriated profit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7"/>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Unappropriated profit at the beginning of the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17,599,625.10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 of 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11,415,290.32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Thereinto: transferred from the net profit of the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11,415,290.32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Decrease of 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Minus: withdrawal surplus reserves of the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dividend distribution of 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Unappropriated profit at the end of the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29,014,915.42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takings and operating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8"/>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takings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Operating coats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last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current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last</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categories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Electricity generation income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35,235,375.65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39,714,620.77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8,082,252.90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12,515,043.00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business 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35,275,375.65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39,714,620.77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8,084,384.90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12,515,043.00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Sales tax and the extra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9"/>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last 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Urban construction 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27,836.76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23,828.76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surtax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106,279.96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111,170.86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134,116.72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140,999.62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Financial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0"/>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last 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Interest expense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8,131,889.62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7,734,350.68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Minus: interest return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12,502.82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13,837.15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1,724.36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1,650.54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8,121,111.16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7,722,164.07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Loss on impairment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21.410558403769"/>
        <w:gridCol w:w="379.3543023416933"/>
        <w:gridCol w:w="324.23444644589165"/>
        <w:gridCol w:w="324.23444644589165"/>
        <w:gridCol w:w="324.23444644589165"/>
        <w:gridCol w:w="379.3543023416933"/>
        <w:gridCol w:w="379.3543023416933"/>
        <w:gridCol w:w="324.23444644589165"/>
        <w:gridCol w:w="379.3543023416933"/>
        <w:gridCol w:w="324.2344464458927"/>
        <w:tblGridChange w:id="0">
          <w:tblGrid>
            <w:gridCol w:w="6221.410558403769"/>
            <w:gridCol w:w="379.3543023416933"/>
            <w:gridCol w:w="324.23444644589165"/>
            <w:gridCol w:w="324.23444644589165"/>
            <w:gridCol w:w="324.23444644589165"/>
            <w:gridCol w:w="379.3543023416933"/>
            <w:gridCol w:w="379.3543023416933"/>
            <w:gridCol w:w="324.23444644589165"/>
            <w:gridCol w:w="379.3543023416933"/>
            <w:gridCol w:w="324.23444644589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last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Withdrawal provision for bad debts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409,559.23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–718,717.32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409,559.23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–718,717.32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21.Non-business expenditure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2"/>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current 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last 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Donations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 for water conservancy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35,426.66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39,714.62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Compensatory payments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30,374.75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72,426.66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115,089.37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VII. Related parties relationships and their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Related parties relationships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Related parties which have controlling relationships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8.6962908556739"/>
        <w:gridCol w:w="343.73852368710976"/>
        <w:gridCol w:w="1206.5222181417553"/>
        <w:gridCol w:w="343.73852368710976"/>
        <w:gridCol w:w="1206.5222181417553"/>
        <w:gridCol w:w="343.73852368710976"/>
        <w:gridCol w:w="1206.5222181417553"/>
        <w:gridCol w:w="343.73852368710976"/>
        <w:gridCol w:w="1206.5222181417553"/>
        <w:gridCol w:w="343.73852368710976"/>
        <w:gridCol w:w="1206.5222181417553"/>
        <w:tblGridChange w:id="0">
          <w:tblGrid>
            <w:gridCol w:w="1608.6962908556739"/>
            <w:gridCol w:w="343.73852368710976"/>
            <w:gridCol w:w="1206.5222181417553"/>
            <w:gridCol w:w="343.73852368710976"/>
            <w:gridCol w:w="1206.5222181417553"/>
            <w:gridCol w:w="343.73852368710976"/>
            <w:gridCol w:w="1206.5222181417553"/>
            <w:gridCol w:w="343.73852368710976"/>
            <w:gridCol w:w="1206.5222181417553"/>
            <w:gridCol w:w="343.73852368710976"/>
            <w:gridCol w:w="1206.52221814175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Relationships with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Enterprise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Registered addresses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Major businesses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Economic character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Legal representative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Guangsha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Joint Stock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Wuning West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Dong Yang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City,Zhejiang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Investments in real estates,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Joint-stock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Lou Jiangyue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registered capital and its changes by related parties which have controlling relationships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Increase of current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Decrease of current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Related parties’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Guangsha Joint Stock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483,633,492.00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388,155,600.00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871,789,092.00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stocks held by related parties which have controlling relationships and the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5"/>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amount of shareholding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Holding proportion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Related parties’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Guangsha Joint Stock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119,400,000.00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119,400,000.00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Related parties which have other relationships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2"/>
        <w:gridCol w:w="468.00000000000006"/>
        <w:gridCol w:w="4680"/>
        <w:tblGridChange w:id="0">
          <w:tblGrid>
            <w:gridCol w:w="4212"/>
            <w:gridCol w:w="468.00000000000006"/>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Related parties’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relationship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Guangsha Hydroelectric Investment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Shareholder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Guangsha Building Group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Significant impact to our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Related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8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From Jan., 2007 to Sep., 2007, Zhejiang Guangsha Hydroelectric Investment Co., Ltd. should be paid 649,594.08 yuan as payment for the use of state funds. Up to Sep. 30, 2007, it has not been paid.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From Jan., 2007 to Sep., 2007, Zhejiang Guangsha Hydroelectric Investment Co., Ltd. shoud be paid 239,040.27 yuan for power station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of Financial Statement of Yingchuan Hydroelectric Company on Sep,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8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administration, of which 136,760.42 yuan has been paid and the remaining 93,279.65 yuan, has not been paid.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Acceptance of guarantee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 to Sep. 30, 2007, the amount of guarantee accepted was 50 million yuan. The guarantor was Guangsha Building Group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Balance of related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89"/>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99.882121807466"/>
        <w:gridCol w:w="398.4282907662083"/>
        <w:gridCol w:w="340.53700065487885"/>
        <w:gridCol w:w="340.53700065487885"/>
        <w:gridCol w:w="340.53700065487885"/>
        <w:gridCol w:w="398.4282907662083"/>
        <w:gridCol w:w="340.53700065487885"/>
        <w:gridCol w:w="340.53700065487885"/>
        <w:gridCol w:w="340.53700065487885"/>
        <w:gridCol w:w="398.4282907662083"/>
        <w:gridCol w:w="340.53700065487885"/>
        <w:gridCol w:w="340.53700065487885"/>
        <w:gridCol w:w="340.53700065487885"/>
        <w:tblGridChange w:id="0">
          <w:tblGrid>
            <w:gridCol w:w="5099.882121807466"/>
            <w:gridCol w:w="398.4282907662083"/>
            <w:gridCol w:w="340.53700065487885"/>
            <w:gridCol w:w="340.53700065487885"/>
            <w:gridCol w:w="340.53700065487885"/>
            <w:gridCol w:w="398.4282907662083"/>
            <w:gridCol w:w="340.53700065487885"/>
            <w:gridCol w:w="340.53700065487885"/>
            <w:gridCol w:w="340.53700065487885"/>
            <w:gridCol w:w="398.4282907662083"/>
            <w:gridCol w:w="340.53700065487885"/>
            <w:gridCol w:w="340.53700065487885"/>
            <w:gridCol w:w="340.537000654878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Opening amount of</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Related parties’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Categories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Closing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year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Joint Stock Limited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receivables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8,355,648.89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Guangsha Hydroelectric Investment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accounts payable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22,881,639.81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4,539,232.44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Guangsha Joint Stock Limited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gridSpan w:val="3"/>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Dividend payable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9,973,267.33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VIII. Commitment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 to the deadline of the report, we do not have commitment matters which should be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IX. Contingencies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 to the deadline of the report, we do not have contingencies whicn should be disclosed such as pending action, external guarantee,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 Other important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 to the report deadline of the, China Hydroelectric Fund Beijing Management Company plans to purchase all the equity of the company. The correlative work is ongoing. Other than this, we do not need to explain other important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XI. The subsequent events of the balance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 to the deadline of the report, we did not have any significant subsequent event of the balance sheet which shall be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Hydroelectric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2 Index to information disclosed by the Transferors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Including but no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documents for Company establishment (August 1998)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documents for company change (November 18, 2001)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documents for company changes (November 28, 2001)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documents for company changes (August 15, 2001)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1998, 1999, 2000, 2001, 2002, 2003, 2004, 2005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Annual inspection report (1998,1999,2000,2001,2002,2003,2004 and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Annual audit report (2003,2004 and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Enterprise Legal Person Business License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to 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to 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Resolutions of the shareholders’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Resolutions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Resolutions of the Supervisory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verification report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verification report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verification report (1998)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key personnel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registration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registration certificate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or agency code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 to open a bank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Water Resources Bureau, Approval on the Water and Soil Conservancy Plan for Jingning Yingchuan Hydropower Project, Zhe Shui Zheng (1997) No.854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Zhengjiang Planning and Economic Commission, Approval on Forwarding the Project Suggestion of Yingchuan Hydropower Project, Zhe Jing Ji Tou (1997) No.1206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Zhengjiang Planning and Economic Commission, Approval on the Feasibility Study Report of Jingning Yingchuan Hydropower Project, Zhe Jing Ji Tou (1998) No.181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Water Resources Bureau, Apply on the Preliminary Design of Jingning Yingchuan Hydropower Project, Zheng Shui Zheng (1998) No.531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Zhengjijang Lishui District Planning Commission, Report on the Request to Review the Preliminary Report of Jingning Yingchuan Hydropower Project, Zhe Di Ji Tou (1998), No.241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Water Resources Bureau, Approval on the Water and Soil Conservancy Plan for Jingning Yingchuan Hydropower Project, Zhe Shui Zheng (1997) No.854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Jingning County Construction Bureau: Construction Land Planning Permit 1084073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for Forest Requisition (Original and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Land Application (Original and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Redline map of land condemnation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Construction Land Permit, Jing Guo Jian Di Zi (1998) No.62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Jingning Shezu Autonomous County Government, Circular on Immigrant Relocation and Compensation Standards of Yingchuan Hydropower Project as well as the supplementary circular, Jing Zheng [1999] No.23 and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Jingning Shezu Autonomous County Government, Compensation Measures for the Requisition of Land and Trees by Yingchuan Hydropower Project as well as the supplementary circular, Jing Zheng Fa [1999] No.12 and No.98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Jingning Shezu Autonomous Region Government, Circular on Adjusting Compensation Standards in the Requisition of Land by Yingchuan Hydropower Project, Jing Zheng Fa [2001] No.94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Jingning County Yingchuan Town Government, Assets Assessment Report (2001) No.16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State-owned Land Use Certificate (2003) No.29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State-owned Land Use Certificate (2003) No.30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 Use Right Certificate Jing Guo Yong (2004) No.866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State-owned Land Use Right Certificate Jing Guo Yong (2004) No.867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Lishui City Public Security Bureau, Opinion on Fire-fighting Examination and Acceptance of Jingning Yingchuan Hydropower Project, Li Gong Xiao Yan [2002] No.059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Water Resources Bureau, Circular on Publishing the Examination and Acceptance Report on the Launch into Operation of Power Generators of Jingning Yingchuan Hydropower Project, Zhe Shui Jian [2002] No.58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Assessment Report on Examination and Acceptance upon Operation of Power Generators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and Acceptance Report by Flood-discharging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and Acceptance Report by Ground Voltage Transformation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and Acceptance Report by Water Channeling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and Acceptance Report by Water Introduction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Acceptance by Xikangyuan Water Introduction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Jingning County Construction Bureau, Examination and Acceptance Record for Houses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Shui Power Supply Bureau, Opinion on Jingning Yingchuan Hydropower Project Grid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Price Bureau, Apply on Grip Upload Price of Jingning Yingchuan Hydropower Project, Zhe Jia Shang [2002] No.183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Jingning Shezu Autonomous County Government, Apply on Preferential Policies for Yingchuan Hydropower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Jingning Shezu Autonomous County Local Taxation Bureau, Apply on Reducing and Waiving the Enterprise Annual Income Tax of 2006 for 6 Enterprises (including Daming Trading Corporation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House Ownership Certificate 11244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House Ownership Certificate 11245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House Ownership Certificate 11246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State-owned Land Use Certificate (2003) No.29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State-owned Land Use Certificate (2003) No.30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State-owned Land Use Certificate (2004) No.866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State-owned Land Use Certificate (2004) No.867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Assessment Report (2007) No.41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 Report for the year of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 Report for the year of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 Report for the year of 2004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Report on Expenses in Jingning Yingchuan Hydropower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Electricity Bill by Lishui Power Supply Bureau (June, July, August and September of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to the Delay in Payment of Interest to Oujiang Power Generating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Credits and Debts Settlement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Economic Agreement on Grid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for Operating and Managing Yinchuan Hydropower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Contract, Nong Yin Jie Zi (2001) No.0037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 Contract (2001) No.37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Contract, Nong Yin Jie Zi (2001) No.0038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 Contract, Nong Yin Bao Zi (2001)No.006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Contract 42760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Contract 17980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Mortgage Contract 24141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Contract Nong Yin Jie Zi (2000) No.63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 Contract for Loans (99) Nong Yin Bao Jie Zi No.001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Invoice for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Economic Agreement on Grid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for Operating and Managing Yinchuan Hydropower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Statement of Enterprise Income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Statement of Urban Land Use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Statement of House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 of Labor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Breakdown of Bank Loans Borrowed by Yingchuan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90"/>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9.69473436396464"/>
        <w:gridCol w:w="367.2604567213372"/>
        <w:gridCol w:w="2148.473671819823"/>
        <w:gridCol w:w="367.2604567213372"/>
        <w:gridCol w:w="429.69473436396464"/>
        <w:gridCol w:w="367.2604567213372"/>
        <w:gridCol w:w="429.69473436396464"/>
        <w:gridCol w:w="367.2604567213372"/>
        <w:gridCol w:w="429.69473436396464"/>
        <w:gridCol w:w="367.2604567213372"/>
        <w:gridCol w:w="429.69473436396464"/>
        <w:gridCol w:w="367.2604567213372"/>
        <w:gridCol w:w="429.69473436396464"/>
        <w:gridCol w:w="367.2604567213372"/>
        <w:gridCol w:w="2062.5347249470296"/>
        <w:tblGridChange w:id="0">
          <w:tblGrid>
            <w:gridCol w:w="429.69473436396464"/>
            <w:gridCol w:w="367.2604567213372"/>
            <w:gridCol w:w="2148.473671819823"/>
            <w:gridCol w:w="367.2604567213372"/>
            <w:gridCol w:w="429.69473436396464"/>
            <w:gridCol w:w="367.2604567213372"/>
            <w:gridCol w:w="429.69473436396464"/>
            <w:gridCol w:w="367.2604567213372"/>
            <w:gridCol w:w="429.69473436396464"/>
            <w:gridCol w:w="367.2604567213372"/>
            <w:gridCol w:w="429.69473436396464"/>
            <w:gridCol w:w="367.2604567213372"/>
            <w:gridCol w:w="429.69473436396464"/>
            <w:gridCol w:w="367.2604567213372"/>
            <w:gridCol w:w="2062.53472494702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9"/>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by September 30,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 RMB</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Lending Bank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Lending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Expiry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Annual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Agricultural Bank of China, Mingzhu Sub-branch</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2008.10.31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7.1154%- 7.3278%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RMB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Guarantor: Guangsha Construction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Agricultural Bank of China, Jingning Shezu Autonomous County Sub-branch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2009.08.20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Guangsha Construction Co., Ltd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Agricultural Bank of China, Jingning Shezu Autonomous County Sub-branch</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2010.05.09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7.88%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RMB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Mortage: Assets of Yingchuan Hydropower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Letter Of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Hydroelectric Corporation (CHC):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hereby issue this Letter to you to provide a joint liability guarantee for all contractual obligations and maters under the “Formal Equity Interest Transfer Contract of Jingning Yingchuan Hydropower Development Co., Ltd” signed by CHC, Zhejiang Guangsha Stock Co., Ltd, and Zhejiang Guangsha Hydropower Investment Co., Ltd (hereinafter collectively referred to as “the Transferors”)on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Guarantee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Guarantee’s scope is all contractual obligations and matters of the Transferors under the “Formal Equity Interest Transfer Contract of Jingning Yingchuan Hydropower Development Co., Ltd,” and all payment obligations, liabilities for breach of contracts and compensation caused by the Transferors’ failure to perform any contractual obligations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Guarantee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shall be two years from the expiration date of the performance of the contractual obligations and matters under the “Formal Equity Interest Transfer Contract of Jingning Yingchuan Hydropower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Guarantee manner: Joint liability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Performance of the Guarantee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Transferors fail to perform its contractual obligations and matters in accordance with the provisions of the Contract, CHC is entitled to request us to bear liability under the guarantee. We shall fulfill our obligations set out in this letter, within two (2) work days of receipt of your written notice affixed with your company seal, setting out our relevant contractual obligations, we will honor our payment obligations, our liability for breach of contractual provisions and remit the appropriate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shall come into effect on the date when the legal representative or authorized representative signs and affixes our official business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Guangsha Shareholding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legal representative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representative (signed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Zhejiang Jingning Yingchuan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Hydropower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JINGDUPINGBAOZI (2007)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One volume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15,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19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92"/>
        <w:tblW w:w="9359.999999999998" w:type="dxa"/>
        <w:jc w:val="left"/>
        <w:tblInd w:w="0.0" w:type="pct"/>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Entrusting Party and Other Appraisal Report Users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Basic Information and Financial Status of the Appraised Enterprise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Appraisal Objectives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Appraisal Subject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Value Type and Definition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Appraisal Base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Appraisal Assumptions and Restrictive Conditions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Appraisal Principle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Appraisal Basis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Appraisal Method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Implementation Process and Conditions of Appraisal Procedures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Appraisal Conclusions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Explanations to Particular Issues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Major Issues after Appraisal Base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 Legal Effect of the Appraisal Report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 Appraisal Reporting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for Future Reference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on the Application Scope of Document for Future Reference of the Assets Appraisal Report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193"/>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Transfer Project by Zhejiang Jingning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Yingchuan Hydropower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JINGDUPINGBAOZI (2007)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(hereinafter referred to as Jingdu Company) has been entrusted by China Hydroelectric Corporation and developed appraisal work for all shareholders’ equity value of Zhejiang Jingning Yingchuan Hydropower Development Co., Ltd. (hereinafter referred to as “Yingchuan Hydroelectric Development Company) on the appraisal base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Appraisal objectives: Because China Hydroelectric Corporation planed to purchase all stock rights of Yingchuan Hydropower Development Company, the Jingdu Company accepted its entrustment and developed value appraisal for all shareholders’ equity of Yingchuan Hydropower Development Company on the appraisal base day and supplied references for the forementioned economic behavior.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appraisal base day is September 30,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Appraisal Subject: all shareholders’ equity of Yingchuan Hydropower Development Company. The net assets nominal value of the Yingchuan Company on appraisal base day is RMB 178.7499 Million.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Appraisal method: Income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 type: the value type of the appraisal is investment value. The investment value is the assets possessed value for special investors with investment objective or certain of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Referring to relevant data provided by the appraised enterprise, the appraisers have carried out necessary appraisal procedures including the verification, inquiry and data collection for property right, obligation and operation status,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194"/>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investigation, analyses and judgment for the market environment and state of operation, financial status, and future development status for appraised enterprise according to national provisions concerning assets appraisal, at the same time complying with principles of independence, objectivity and impartial. Also, according to the effective price data on the appraisal base day, the fair value of the entrusted assets on the appraisal base day has been reflected objectively.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Till September 30, 2007, the appraisal base day expiration, through adopting income approach appraisal, the entity value appraisal value of the Yingchuan Hydropower Development Company is RMB 452.7187 Million. And all shareholders’ equity appraisal value is RMB 355.5799 Million.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Appraisal conclusions are drawn on some assumptions and restrictive conditions, so it is hereby noted that the report user shall pay attention to the legal ownership explanation of the entrusted assets as well as influences on appraisal conclusions and trade pricing generated by these assumptions and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appraisal report will be valid for one year, namely, from September 30, 2007 to September 29,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aforesaid content is picked from the asset appraisal report. To learn the comprehensive information of the appraisal report, please earnestly read the full text of this asset appraisal report. </w:t>
      </w:r>
      <w:r w:rsidDel="00000000" w:rsidR="00000000" w:rsidRPr="00000000">
        <w:rPr>
          <w:rFonts w:ascii="Times New Roman" w:cs="Times New Roman" w:eastAsia="Times New Roman" w:hAnsi="Times New Roman"/>
          <w:b w:val="1"/>
          <w:sz w:val="20"/>
          <w:szCs w:val="20"/>
          <w:rtl w:val="0"/>
        </w:rPr>
        <w:t xml:space="preserve">If any questions, take the Chinese version as criterion.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 right of the appraisal report belongs to entrusting party. Without the permission of the entrusting party, the organization can’t supply or publicize the report. For any miscellaneous purposes, or somebody else presented and mastered the report, the appraisal organization will neither admit nonrecognize nor take on any responsibility, without the written approval of Jingdu.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Assets Appraisal Institution: Beijing Jing Du Assets Valuation Company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r>
    </w:p>
    <w:tbl>
      <w:tblPr>
        <w:tblStyle w:val="Table195"/>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text in this passage)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Legal Representative of Assets Appraisal Institution: Jiang Jianying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China Certified Public Valuer: Wang 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China Certified Public Valuer: Sun Chaohui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Nov. 15,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196"/>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Zhejiang Jingning Yingchuan Hydropower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JINGDUPINGBAOZI (2007)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(hereinafter referred to as Jingdu Company) has been entrusted by China Hydroelectric Corporation and developed appraisal work for all shareholders’ equity value of Zhejiang Jingning Yingchuan Hydropower Development Co., Ltd. (hereinafter referred to as “Yingchuan Hydroelectric Development Company) on the appraisal base day, according to relevant provisions on assets appraisal and guided by the principle of independence, impersonality, fairness and scientificness. The appraisers of Jingdu Company verified, inquired and collected data of the property right, obligation and operation status for entrusted assets according to necessary appraisal procedures. The market environment of the appraised enterprise is investigated. The investigation, analyses and judgment are carried out for the state of operation, financial status and forthcoming development of the appraised enterprise. The fair value of the entrusted assets on September 30, 2007 has been reflected objectively. The assets appraisal conditions and results are reported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Entrusting Party and Other Appraisal Report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entrusting party of the appraisal project is China Hydroelectric Corporation. The China Hydroelectric Corporation planed to purchase all stock rights of Yingchuan Hydropower Development Company. Except the entrusting party, the proceeding involved related parties will use the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Basic Information and Financial Status of the Appraised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19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appraised enterprise of the project is Yingchuan Hydropower Development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98"/>
        <w:tblW w:w="9360.0" w:type="dxa"/>
        <w:jc w:val="left"/>
        <w:tblInd w:w="0.0" w:type="pct"/>
        <w:tblLayout w:type="fixed"/>
        <w:tblLook w:val="0600"/>
      </w:tblPr>
      <w:tblGrid>
        <w:gridCol w:w="400"/>
        <w:gridCol w:w="400"/>
        <w:gridCol w:w="400"/>
        <w:gridCol w:w="3880"/>
        <w:gridCol w:w="400"/>
        <w:gridCol w:w="3880"/>
        <w:tblGridChange w:id="0">
          <w:tblGrid>
            <w:gridCol w:w="400"/>
            <w:gridCol w:w="400"/>
            <w:gridCol w:w="400"/>
            <w:gridCol w:w="3880"/>
            <w:gridCol w:w="400"/>
            <w:gridCol w:w="3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Company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Zhejiang Jingning Yingchuan Hydropower Development Co., Ltd. (hereinafter referred to as “Yingchuan Hydroelectric Development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99"/>
        <w:tblW w:w="9360.0" w:type="dxa"/>
        <w:jc w:val="left"/>
        <w:tblInd w:w="0.0" w:type="pct"/>
        <w:tblLayout w:type="fixed"/>
        <w:tblLook w:val="0600"/>
      </w:tblPr>
      <w:tblGrid>
        <w:gridCol w:w="4280"/>
        <w:gridCol w:w="400"/>
        <w:gridCol w:w="400"/>
        <w:gridCol w:w="4280"/>
        <w:tblGridChange w:id="0">
          <w:tblGrid>
            <w:gridCol w:w="4280"/>
            <w:gridCol w:w="400"/>
            <w:gridCol w:w="400"/>
            <w:gridCol w:w="42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Registered address: Huangyangkou Village, Yingchuan Town, Jingning She Nationality Autonomous County.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Legal Representative: Lu Chunliang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Registered Capital: RMB 140.47m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Paid-up Capital: RMB 140.47m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Company Type: Company with Limited Liability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00"/>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Business Scope: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Hydropower development manufacturing, hydropower installation, the purchase and sale of hardware, building material, subsidiary agricultural products (exclusive of cotton, silkworm cocoon, tobacco)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0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Establishment Date: August 26, 1998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Operation Period: from August 26, 1998 to August 25, 2028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0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History evolution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Yingchuan Hydropower Development Company came into existence on August 26, 1998. Its registered capital is RMB 11 million, of which RMB 9.56 million is invested by Zhejiang Guangsha Jingning Hydropower Development Co. Ltd. and RMB 1.44 million is invested by Zhejiang Lishui Nanfang Hydropower Development Co., Ltd. According to the resolution of board of shareholders dated on October 31, 2002 and the modified Articles of Association, the former shareholders, Guangxia Jingning Hydropower Development Co. Ltd. (occupies 86.91% of the interests) and Lishui Nanfang Hydropower Development Co. Ltd. (occupies 13.09% of the interests), transferred their shares to Zhejiang Guangsha Joint Stock Limited Partnership and Zhejiang Guangning Hydropower Development Co. Ltd.respectively. On the basis of that, Zhejiang Guangsha Joint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03"/>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0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Limited Partnership and Zhejiang Guangning Hydropower Development Co., Ltd. increased investment. After the change, the contributed capital of the Guangsha Joint Stock Limited Partnership is RMB 54.40 Million (occupies 85% of the registered capital), and the contributed capital of the Zhejiang Guangning Hydropower Development Co. Ltd. is RMB 9.60 Million (occupies 15% of the registered capital). The total registered capital is increased to RMB 64 Million. On June 24, 2003, according to the resolution of board of shareholders on May 25, 2003 and the resolution of board of shareholders on June 12, 2003 and the modified Articles of Association, the registered capital of Yingchuan Hydropower Development Company was increased from RMB 64 Million to RMB 140.47 Million. After the capital increase, the total contributed capital of Zhejiang Guangsha Joint Stock Limited Partnership is RMB 119.4 Million (occupies 85% of the registered capital), and the total contributed capital of Zhejiang Guangning Hydropower Development Co., Ltd. is RMB 21.07 Million (occupies 15% of the registered capital). Thus the total registered capital is increased to RMB 140.47 Million. On January 18, 2007, the Company convened a shareholder conference and accepted that Zhejiang Guangning Hydropower Development Co., Ltd. could transfer its 15% shares of the company to Zhejiang Guangsha Hydropower Investment Co., Ltd.. The transfer price is RMB 21.07 Million. Zhejiang Guangning Hydropower Development Co., Ltd. will not hold any shares of the Zhejiang Jingning Yingchuan Hydropower Development Co., Ltd. any more after transferred.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0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Yingchuan Hydropower Station located on the upstream branch — Yingchuan stream of Oujiang River water system. It is in the Yingchuan, Jingning County. The reservoir dam is located 500m down the conflux of Huanghu Port and Chayuan River, two main streams of Yingchuan River. It’s just 4km away from Yingchuan Town. The factory located in Huangqiangkou Village which is about 8km to downstream of Yingchuan Town. It is about 58km to Jingning County. The maximum height of the dam in Yingchuan Hydropower Station is 87m. The dam top width is 6m. The reservoir capacity is 37.31 Million m</w:t>
            </w:r>
            <w:r w:rsidDel="00000000" w:rsidR="00000000" w:rsidRPr="00000000">
              <w:rPr>
                <w:rFonts w:ascii="Times New Roman" w:cs="Times New Roman" w:eastAsia="Times New Roman" w:hAnsi="Times New Roman"/>
                <w:color w:val="000000"/>
                <w:sz w:val="16"/>
                <w:szCs w:val="16"/>
                <w:vertAlign w:val="baseline"/>
                <w:rtl w:val="0"/>
              </w:rPr>
              <w:t xml:space="preserve">3</w:t>
            </w:r>
            <w:r w:rsidDel="00000000" w:rsidR="00000000" w:rsidRPr="00000000">
              <w:rPr>
                <w:rFonts w:ascii="Times New Roman" w:cs="Times New Roman" w:eastAsia="Times New Roman" w:hAnsi="Times New Roman"/>
                <w:color w:val="000000"/>
                <w:sz w:val="20"/>
                <w:szCs w:val="20"/>
                <w:rtl w:val="0"/>
              </w:rPr>
              <w:t xml:space="preserve">. The power plant installation is 2×20000KW and belongs to Class III project. The water turbine adopted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06"/>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0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vertical shaft mixed-flow turbine. The annual design power output is 108.76 Million KWH. The prime assets of the hydropower station includes: barrage, spillway, escape pipe, offlet, power generation water piloting tunnel, Xikengyuan water diversion works, power plant, booster station, surge shaft, penstock, tail water system, water-turbine generator sets and related full set facility, lifting pressure facility, power station manufacturing, living and office auxiliary buildings and the land use right.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river basin planning was carried out for the hydropower station in November, 1997. The preliminary design was carried out in May, 1998. The supplement material of preliminary design after review was completed in Aug., 1998 and obtained preliminary design endorsement. It was started in early 1999; the total project duration is about 2.5 years. In May, 2002, two sets 20000KW water turbine sets paralleled in power generation.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2004, Yingchuan Company’s contracted grid power was 104 million KWH, but the actual grid power was 110.84 KWH. The income (power fee revenue) is RMB 17.22 Million. In 2005, its contracted grid power was 100.13 million KWH, but the actual grid power was 119.07 KWH. The income (power fee revenue) is RMB 17.22 Million. In 2006, its contracted grid power was 99.5 million KWH, but the actual grid power was 119.07 KWH. The income (power fee revenue) is RMB 16.57 Million.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0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assets, liabilities, financial status and operation achievements in recent three years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209"/>
        <w:tblW w:w="9360.0" w:type="dxa"/>
        <w:jc w:val="left"/>
        <w:tblInd w:w="0.0" w:type="pct"/>
        <w:tblLayout w:type="fixed"/>
        <w:tblLook w:val="0600"/>
      </w:tblPr>
      <w:tblGrid>
        <w:gridCol w:w="4680"/>
        <w:gridCol w:w="468.00000000000006"/>
        <w:gridCol w:w="4212"/>
        <w:tblGridChange w:id="0">
          <w:tblGrid>
            <w:gridCol w:w="4680"/>
            <w:gridCol w:w="468.00000000000006"/>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Assets liabilities and financial status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RMB 10 thousand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10"/>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 30, 2007</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28179.16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27330.64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28486.81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28696.27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14689.86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12895.05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11720.24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10720.98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Net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15500.71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16462.97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16766.56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17975.29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3,378.15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4,381.27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3,971.46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3,527.54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1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1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Change w:id="0">
          <w:tblGrid>
            <w:gridCol w:w="3948.0199667221304"/>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gridCol w:w="379.61730449251263"/>
            <w:gridCol w:w="324.45923460898507"/>
            <w:gridCol w:w="324.45923460898507"/>
            <w:gridCol w:w="324.45923460898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 30, 2007</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Operation costs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2,210.62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3,022.92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2,705.86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1,625.93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profit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1,869.75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Gross profit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937.75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1,863.12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1,803.60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1804.08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profit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937.75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1,803.60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1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Yingchuan Hydropower Development Company was carried out annual audit in 2004, 2005 and 2006 by Zhejiang Tianjian CPAs Firm , which issued unqualified opinions on their audit reports as ZHETIANKUAISHENZI(2005) No. 893, ZHETIANKUAISHENZI(2006) No. 1153 and ZHETIANKUAISHENZI (2007)NO.1339 respectively. The audit report considered that the company finacial statements conformed to the prescription of </w:t>
            </w:r>
            <w:r w:rsidDel="00000000" w:rsidR="00000000" w:rsidRPr="00000000">
              <w:rPr>
                <w:rFonts w:ascii="Times New Roman" w:cs="Times New Roman" w:eastAsia="Times New Roman" w:hAnsi="Times New Roman"/>
                <w:i w:val="1"/>
                <w:color w:val="000000"/>
                <w:sz w:val="20"/>
                <w:szCs w:val="20"/>
                <w:rtl w:val="0"/>
              </w:rPr>
              <w:t xml:space="preserve">Accounting Standard for Business Enterprises </w:t>
            </w:r>
            <w:r w:rsidDel="00000000" w:rsidR="00000000" w:rsidRPr="00000000">
              <w:rPr>
                <w:rFonts w:ascii="Times New Roman" w:cs="Times New Roman" w:eastAsia="Times New Roman" w:hAnsi="Times New Roman"/>
                <w:color w:val="000000"/>
                <w:sz w:val="20"/>
                <w:szCs w:val="20"/>
                <w:rtl w:val="0"/>
              </w:rPr>
              <w:t xml:space="preserve">and </w:t>
            </w:r>
            <w:r w:rsidDel="00000000" w:rsidR="00000000" w:rsidRPr="00000000">
              <w:rPr>
                <w:rFonts w:ascii="Times New Roman" w:cs="Times New Roman" w:eastAsia="Times New Roman" w:hAnsi="Times New Roman"/>
                <w:i w:val="1"/>
                <w:color w:val="000000"/>
                <w:sz w:val="20"/>
                <w:szCs w:val="20"/>
                <w:rtl w:val="0"/>
              </w:rPr>
              <w:t xml:space="preserve">Accounting System of the Small enterprises</w:t>
            </w:r>
            <w:r w:rsidDel="00000000" w:rsidR="00000000" w:rsidRPr="00000000">
              <w:rPr>
                <w:rFonts w:ascii="Times New Roman" w:cs="Times New Roman" w:eastAsia="Times New Roman" w:hAnsi="Times New Roman"/>
                <w:color w:val="000000"/>
                <w:sz w:val="20"/>
                <w:szCs w:val="20"/>
                <w:rtl w:val="0"/>
              </w:rPr>
              <w:t xml:space="preserve">. It reflected the financial status, operation achievement and the fund variation in the important aspects. The accounting process selection complies with principle of consistency. Beijing Jing Du CPAs Firm carried out special audit for balance sheet of the Yingchuan Hydropower Development Company on September 30, 2007 and presented the audit report BEIJINGJINGDUSHENZI ( 2007) No. 1314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1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Major accounting policies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Financial system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financial statements of Yingchuan Hydroelectric are compiled on the base of continual operation. All the statements, based on the actually occurred transactions and items, are compliant to </w:t>
            </w:r>
            <w:r w:rsidDel="00000000" w:rsidR="00000000" w:rsidRPr="00000000">
              <w:rPr>
                <w:rFonts w:ascii="Times New Roman" w:cs="Times New Roman" w:eastAsia="Times New Roman" w:hAnsi="Times New Roman"/>
                <w:i w:val="1"/>
                <w:color w:val="000000"/>
                <w:sz w:val="20"/>
                <w:szCs w:val="20"/>
                <w:rtl w:val="0"/>
              </w:rPr>
              <w:t xml:space="preserve">Accounting Standards for Business Enterprises </w:t>
            </w:r>
            <w:r w:rsidDel="00000000" w:rsidR="00000000" w:rsidRPr="00000000">
              <w:rPr>
                <w:rFonts w:ascii="Times New Roman" w:cs="Times New Roman" w:eastAsia="Times New Roman" w:hAnsi="Times New Roman"/>
                <w:color w:val="000000"/>
                <w:sz w:val="20"/>
                <w:szCs w:val="20"/>
                <w:rtl w:val="0"/>
              </w:rPr>
              <w:t xml:space="preserve">and its application guide that were issued by the Ministry of Finance on February 15, 2006.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Financial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financial year means a calendar year starting on January 1 and ending on December 31.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15"/>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1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Standard money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standard money is Renminbi (RMB).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Accounting base and pricing principles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otherwise stated, the pricing principle is based on the historical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Validation criteria for cash equivalent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Cash equivalent means those investments featuring short term (generally due within 3 months from purchase date), high mobility, easy to change into cash, and low value disturbance.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 method of bad debt loss for the account receivable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17"/>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Bad debt validation criteria: a. the debtor goes into liquidation or is death, and his liquidated property and heritage cannot cover the all the debts; b. the debtor fails to perform its repayment obligations overdue and it’s obvious to indicate that the debt is unable to be repaid.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entry method of bad debt loss: allowance method is used for reckoning the bad debt loss. By the end of each year, the company will draw some provisions for bad debts to the receivables (including account receivable and other receivables) according to the account age analysis method. The provision proportion sees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21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Duration of account receivable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Provision proportion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overdue within a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Overdue one-two years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Overdue two-three years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Overdue more than three years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1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those accounts receivable featuring conclusive evidence of the obvious difference of repayment, individual recognizing method is used to draw bad debt provision.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2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Fixed assets pricing and depreciation method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21"/>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Validation criteria for fixed assets: the fixed assets concurrently feature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22"/>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23"/>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following characteristics: 1. tangible assets; 2. high unit value; 3. service life is more than one year; 4. purchased for the purposes of production, offering labor services, lease or operation management.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fixed assets pricing and depreciation method: the fixed asset is booked at the actual cost of procurement, and depreciated according to straight-line method from the next month after reaching the serviceable conditions.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salvage value rate, depreciation life and annual depreciation rate of all kinds of fixed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224"/>
        <w:tblW w:w="9359.99999999999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1.851171336702"/>
        <w:gridCol w:w="419.20073495636194"/>
        <w:gridCol w:w="358.29122645842904"/>
        <w:gridCol w:w="358.29122645842904"/>
        <w:gridCol w:w="358.29122645842904"/>
        <w:gridCol w:w="419.20073495636194"/>
        <w:gridCol w:w="358.29122645842904"/>
        <w:gridCol w:w="358.29122645842904"/>
        <w:gridCol w:w="358.29122645842904"/>
        <w:tblGridChange w:id="0">
          <w:tblGrid>
            <w:gridCol w:w="6371.851171336702"/>
            <w:gridCol w:w="419.20073495636194"/>
            <w:gridCol w:w="358.29122645842904"/>
            <w:gridCol w:w="358.29122645842904"/>
            <w:gridCol w:w="358.29122645842904"/>
            <w:gridCol w:w="419.20073495636194"/>
            <w:gridCol w:w="358.29122645842904"/>
            <w:gridCol w:w="358.29122645842904"/>
            <w:gridCol w:w="358.29122645842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Fixed assets group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Depreciation life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Annual depreciation rate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Buildings and structures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20-45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4.85-2.16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General-purpose 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Special-purpose equipment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4.85-3.88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25"/>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validation criteria and provision method for the depreciation provision of fixed assets: by the end of each year, the company will inspect all the fixed assets. If the following factors are found, including continual downslide of market price, technical obsolescence, damage or long-term idling, then the recoverable amount is evaluated for the fixed assets so as to check whether the fixed asset is devaluated or not. If the recoverable amount is lower than the book value of the fixed assets, then the depreciation provision is drawn as the difference between the recoverable amount and the book value. Upon being determined, the depreciation provision of fixed assets cannot be inverted in the following accounting periods.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2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Accounting treatment method for borrowing costs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borrowing cost occurred, if it compliant to the capitalization conditions of fixed assets construction or procurement, it can be added into the corresponding assets costs; the other borrowing costs shall be determined as expenses and listed in the income statement according to the amount occurred. The assets compliant to the capitalization conditions means those assets can reach operation conditions or sales conditions after a long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2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2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 procurement, construction or production, including fixed assets, inventory and investment-type properties.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2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Entry method for intangible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30"/>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intangible assets are initially evaluated at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intangible assets with limited service life can be rationally amortized according to the anticipation of the related economic benefits within its service life; for those without reliable and ascertained realization way, straight-line amortization method is adopted. For those intangible assets without ascertained service life, their service life shall be rechecked every year and carried out depreciation test.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3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Validation criteria for revenue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operating revenues of the company mainly cover power generation revenue. The validation criteria for revenue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32"/>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major risk and remuneration of the ownership are transferred to the buyers;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neither keeps the ownership-related management right, nor implements effective control to the sold goods;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amount of revenue can be measured reliably;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correlative economic benefits likely flow in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related cost occurred or to be occurred can be measured reliably.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3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Accounting treatment method for income tax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accounting treatment method of the corporate income tax is balance sheet debt method.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book value of assets is greater than its tax base or the book value of liabilities is less than its tax base, the liabilities of deferred income tax shall be determined; if the book value of assets is less than its tax base or the book value of liabilities is greater than its tax base, the assets of deferred income tax shall be determined.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Taxation (tax rate)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Value added tax rate is 6%, urban construction tax rate is 1% of the value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34"/>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3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added tax (business tax), education surtax is 3% of the value added tax (business tax), local education surtax is 2% of the value added tax (business tax), the applicable rate of corporate income tax is 33%. Approved by the Local Taxation Bureau of Jingning She Autonomous County (JINGDISHUIZHENG [2006] No.20), the company was exempt from corporate income tax in 2006 but cannot enjoy the exemption policies by January 1, 2007. The water resource fee is charged as RMB 0.01 per KWH for the grid power.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Appraisal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appraisal objective is that China Hydroelectric Corporation planed to purchase all interests of Yingchuan Hydropower Development Company. Jingdu Company has been entrusted by China Hydroelectric Corporation to develope appraisal work for all shareholders’ equity value of Yingchuan Hydropower Development Company on the appraisal base day and supplied value references for the aforementioned economic behavior.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Appraisal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appraisal covers all the shareholders’ equity of Yingchuan Hydropower Development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audited balance sheet of the Yingchuan Hydropower Development Company on the appraisal base day is as follows: the assets are RMB 285.9597 Million. The liabilities are RMB 107.2098 Million. The net assets are RMB 178.7499 Million.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current assets book value is RMB 19.2858 Million, including monetary fund, receivable account and other receivables.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fixed assets book value is RMB 258.4574 Million; it is the assets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3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3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Yingchuan hydropower station. The maximum height of Yingchuan Hydropower Station dam is 87m. The dam top width is 6m. The reservoir capacity is 37.31 Million m3. The power plant installation is 2×20000KW and belongs to Class III project. The water turbine adopted vertical shaft mixed-flow turbine. The yearly design power output is 108.76 Million KWH. The prime assets of the hydropower station includes: barrage, spillway, escape pipe, offlet, power generation water piloting tunnel, Xikengyuan water diversion works, power plant, booster station, surge shaft, penstock, tail water system, water-turbine generator sets and related full set facility, lifting pressure facility, power station manufacturing, living and office auxiliary buildings and four transferred land use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3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Liabilities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current liabilities book value is RMB 32.2098 Million, including other payables, the payable staff salary, taxes payable and accrued interest payable.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long-term liability book value is RMB 75 Million, it is funded debt.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Value Type and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value type of the appraisal project is the investment value. The investment value means the value of assets for the specific investors who have investment target or the investors of a certain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connotation of the appraisal project investment value is the all equity value of the shareholders of Yingchuan Hydropower Development Company. It corresponds to net assets value of the Yingchuan Hydropower Development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appraisal values stated in the report, means the value of all the stockholders’ equity on the base date, including cash flow and appreciate depreciation and cash convention, provided that the enterprise is running continually. Appraisal values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40"/>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report are drawn by Jing Du according to the agreed appraisal assumptions and restrictive conditions on the appraisal subject and by means of procedures and method stated in this report. They only serve in providing appraisal opinions to these appraisal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 Appraisal Base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asset appraisal base day of this project is September 30,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favor of guaranteeing appraisal result and effectively in the service of appraisal objectives, the appraisal base day has little effect on the appraisal result and is capable of correctly reflecting the up-to-date status of related assets. The day is decided by the entrustee after the joint negotiation and approaches the realization day of relevant economic activities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pricing standard adopted in this appraisal is the effective pricing standard on the appraisal base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VII Appraisal Assumptions and Restrictive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4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Yingchuan Hydropower Development Company will continue its operations and its scope of business, method and decision-making process will have few changed in the future.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future macroeconomic environment of Yingchuan Hydropower Development Company will have no significant changes and the enterprise will completely observe national laws and regulations. Laws, regulations and relevant industrial policies and supervising measures under which the profit is forecast will also have no or few changes in the future.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Inflation rate, national current back credit interest rate, tax base and tax rate, service and product price fluctuations can be kept in a normal range and will have no significant changes.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the local government’s reconstruction for the external power transmission circuit, the power transmission capability improvement can increase the power generation capacity of the Yingchuan Hydropower Station in high water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42"/>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4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forecast year, the entrustee can improve the power generation peak-valley ratio via coordination and reach the expected goal through Lishui Electricity Generating Board (80%:20%).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forecast year, no force majeure or unpredictable factors that would cause major detrimental effects to the main operations of the enterprise or result in great losses of the enterprise properties would happen.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operator of the enterprise is responsible and top management of the enterprise is competent for their duties.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legal disputes or obstacles of assets and business of Yingchuan Hydropower Development Development Company exist. The property right of assets is clear.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Yingchuan Hydropower Development Company is able to be in sustained operation. The continued operation qualification can be obtained when the business license recorded operation expiry date reached.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appraisal, appraisers have observed requirements of assets appraisal and adopted current terms and conditions of policies, industrial conventions, statistical parameters or preconditions concerning the universal industrial parameters and on the appraisal base day, no deviation factors existed. In case that great change has taken place to further economic environment, appraisers will assume no responsibility for different results deduced from the changed preconditions.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VIII Appraisal Principle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4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Acceptable principles stated in national and industrial regulations;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Principles of independence, objectivity and specialty;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Principle of continuous operation of assets, substitutability and open market;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Principle of variation of main beneficiaries of the property right.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IX Appraisal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appraisal is made by observing related national laws, regulations and other fair appraisal basis, pricing standard, appraisal references concerning assets appraisal.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4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Behavior Basis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Assets Appraisal Business Agreement concluded between Jing Du and China Hydroelectric Corporationl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Legal Basis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Management Measures for State-owned Assets </w:t>
            </w:r>
            <w:r w:rsidDel="00000000" w:rsidR="00000000" w:rsidRPr="00000000">
              <w:rPr>
                <w:rFonts w:ascii="Times New Roman" w:cs="Times New Roman" w:eastAsia="Times New Roman" w:hAnsi="Times New Roman"/>
                <w:color w:val="000000"/>
                <w:sz w:val="20"/>
                <w:szCs w:val="20"/>
                <w:rtl w:val="0"/>
              </w:rPr>
              <w:t xml:space="preserve">(No.91) issued by the State Department in 1991;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Evaluation Management Detailed Rules on State-owned Assets </w:t>
            </w:r>
            <w:r w:rsidDel="00000000" w:rsidR="00000000" w:rsidRPr="00000000">
              <w:rPr>
                <w:rFonts w:ascii="Times New Roman" w:cs="Times New Roman" w:eastAsia="Times New Roman" w:hAnsi="Times New Roman"/>
                <w:color w:val="000000"/>
                <w:sz w:val="20"/>
                <w:szCs w:val="20"/>
                <w:rtl w:val="0"/>
              </w:rPr>
              <w:t xml:space="preserve">(GUOZIBANFA [1992] No.36) issued by the original State State-owned Assets Administration Bureau;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Opinions on Assets Appraisal Operation Norms (try out) issued by China Appraisal Society;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Temporary Provisions for Assets Appraisal Report Basic Content and Format (CAIPINGZI No.91) issued by the Ministry of Finance;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Opinion on Certified Public Valuer Focusing on the Legal Right of Appraisal Subject (HUIXIE [2003] No.18) issued by the China Institute of Certified Public Accountants(CICPA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Instruction Opinion on Business Valuation ([2004] No.134) issued by China Appraisal Society;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Assets appraisal criteria;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Policies and regulations concerning enterprise finance, accounting, revenue and assets management established by the Ministry of Finance, Headquarters of People’s Bank of China, National Taxation Bureau and the original State State-owned Assets Administration Bureau.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Property Right Basis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Business license of the enterprise as a legal person;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file ZHESHUIZHENG [1998] No. 531 Endorsement on preliminary design of Yingchuan hydropower station in Jingning County by Water Resource Bureau of Zhejiang Province;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State land use permit submitted, Building ownership certificate and vehicle driving certificate;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Financial materials like accounting statements;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Application materials for assets appraisal.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4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Pricing Basis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Current deposit and loan rates of financial institutions issued by the People’s Bank of China;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Loan Contract, Mortgage Contract, Contract of Guarantee, Parallel in Economic Agreement and Preliminary Design Report of Yingchuan hydropower station.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annual interest of the registered national debt (seven-year term) face value in 2007 (the fourteenth term)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Income Tax Law of the People’s Republic of China;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production record and the power fee statistics from the year 2002 to September, 2007. Offered by Yingchuan Hydropower Development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Relevant information of the listed power generation companies.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Other References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audit reports of Yingchuan Hydropower Development Company in the year 2004, 2005, 2006 and September 30, 2007;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Price information and other materials collected from news, journals, webs, manufacturers and other channels;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Relevant contracts and agreements provided by the appraised enterprise;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analysis of the efficiency increasing statement of Yingchuan Hydroelectric Station provided by entrustee;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Relevant information mastered by appraisers and materials from field investigation.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 Appraisal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4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income approach is adopted in this appraisal assuming the continuous operation of the enterprise.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4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Preconditions for Application of the Income Approach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income approach refers to such an assets appraisal approach that the value of the appraised assets is decided by means of estimating the expected return of the appraised assets and converting them into present value. Preconditions for application of the income approach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4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clear property right of the enterprise assets appraised;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5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future income of enterprises able to be monetarily quantified;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future operating risk of the enterprise able to be monetarily quantified.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5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Profit Forecast Basis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basis of this appraisal is established on the precondition of the normal operation of the enterprise and all earnings are from the normal operation of the enterprise, taking no account of accidental factors and non-comparable factors.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profit forecast takes the actual stock assets of the enterprise and has taken the influence on the normal earnings of the enterprise from the reasonable improvement of stock assets and the additional investment into consideration.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profit forecast is established on the findings of audit from Yingchuan Hydropower Development Company, in accordance with the profit forecast submitted by the enterprise and the working plan provided by entrustee’s and according to relevant information collection from inquiry carried out by appraisers. It has necessarily analyzed, estimated and confirmed the reasonableness of the profit forecast by the enterprise and some adjustments have been made.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Operation materials of the past years and the preliminary design report provided by Yingchuan Hydropower Development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analysis of the efficiency increasing statement of Yingchuan Hydroelectric Station provided by entrustee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unification of accounting process adopted.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5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Appraisal Model of the Income Approach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discounted cash flow model adopts entity cash flow. Its computing formula is: The basic format of entity cash flow model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     Entity value=</w:t>
      </w:r>
      <w:r w:rsidDel="00000000" w:rsidR="00000000" w:rsidRPr="00000000">
        <w:rPr>
          <w:rFonts w:ascii="Times New Roman" w:cs="Times New Roman" w:eastAsia="Times New Roman" w:hAnsi="Times New Roman"/>
          <w:sz w:val="20"/>
          <w:szCs w:val="20"/>
        </w:rPr>
        <w:drawing>
          <wp:inline distB="19050" distT="19050" distL="19050" distR="19050">
            <wp:extent cx="2209800" cy="409575"/>
            <wp:effectExtent b="0" l="0" r="0" t="0"/>
            <wp:docPr descr="(GRAPHIC)" id="6" name="image11.gif"/>
            <a:graphic>
              <a:graphicData uri="http://schemas.openxmlformats.org/drawingml/2006/picture">
                <pic:pic>
                  <pic:nvPicPr>
                    <pic:cNvPr descr="(GRAPHIC)" id="0" name="image11.gif"/>
                    <pic:cNvPicPr preferRelativeResize="0"/>
                  </pic:nvPicPr>
                  <pic:blipFill>
                    <a:blip r:embed="rId8"/>
                    <a:srcRect b="0" l="0" r="0" t="0"/>
                    <a:stretch>
                      <a:fillRect/>
                    </a:stretch>
                  </pic:blipFill>
                  <pic:spPr>
                    <a:xfrm>
                      <a:off x="0" y="0"/>
                      <a:ext cx="2209800" cy="40957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entity cash flow </w:t>
      </w:r>
      <w:r w:rsidDel="00000000" w:rsidR="00000000" w:rsidRPr="00000000">
        <w:rPr>
          <w:rFonts w:ascii="Times New Roman" w:cs="Times New Roman" w:eastAsia="Times New Roman" w:hAnsi="Times New Roman"/>
          <w:sz w:val="16"/>
          <w:szCs w:val="16"/>
          <w:vertAlign w:val="baseline"/>
          <w:rtl w:val="0"/>
        </w:rPr>
        <w:t xml:space="preserve">t</w:t>
      </w:r>
      <w:r w:rsidDel="00000000" w:rsidR="00000000" w:rsidRPr="00000000">
        <w:rPr>
          <w:rFonts w:ascii="Times New Roman" w:cs="Times New Roman" w:eastAsia="Times New Roman" w:hAnsi="Times New Roman"/>
          <w:sz w:val="20"/>
          <w:szCs w:val="20"/>
          <w:rtl w:val="0"/>
        </w:rPr>
        <w:t xml:space="preserve">/ (1+ weighted average cost of capital)</w:t>
      </w:r>
      <w:r w:rsidDel="00000000" w:rsidR="00000000" w:rsidRPr="00000000">
        <w:rPr>
          <w:rFonts w:ascii="Times New Roman" w:cs="Times New Roman" w:eastAsia="Times New Roman" w:hAnsi="Times New Roman"/>
          <w:sz w:val="16"/>
          <w:szCs w:val="16"/>
          <w:vertAlign w:val="baseline"/>
          <w:rtl w:val="0"/>
        </w:rPr>
        <w:t xml:space="preserve">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Shareholders equity value=entity value— liability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Liability value = </w:t>
      </w:r>
      <w:r w:rsidDel="00000000" w:rsidR="00000000" w:rsidRPr="00000000">
        <w:rPr>
          <w:rFonts w:ascii="Times New Roman" w:cs="Times New Roman" w:eastAsia="Times New Roman" w:hAnsi="Times New Roman"/>
          <w:sz w:val="20"/>
          <w:szCs w:val="20"/>
        </w:rPr>
        <w:drawing>
          <wp:inline distB="19050" distT="19050" distL="19050" distR="19050">
            <wp:extent cx="3381375" cy="523875"/>
            <wp:effectExtent b="0" l="0" r="0" t="0"/>
            <wp:docPr descr="(GRAPHIC)" id="5" name="image10.gif"/>
            <a:graphic>
              <a:graphicData uri="http://schemas.openxmlformats.org/drawingml/2006/picture">
                <pic:pic>
                  <pic:nvPicPr>
                    <pic:cNvPr descr="(GRAPHIC)" id="0" name="image10.gif"/>
                    <pic:cNvPicPr preferRelativeResize="0"/>
                  </pic:nvPicPr>
                  <pic:blipFill>
                    <a:blip r:embed="rId9"/>
                    <a:srcRect b="0" l="0" r="0" t="0"/>
                    <a:stretch>
                      <a:fillRect/>
                    </a:stretch>
                  </pic:blipFill>
                  <pic:spPr>
                    <a:xfrm>
                      <a:off x="0" y="0"/>
                      <a:ext cx="3381375" cy="52387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payable liability cash flow/ (1+equal risk liability cost)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entity cash flow= after-tax profit before interest+ depreciation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amortization — operation capital increment- capital expenditure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5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Establishment of the Forecast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as to be able to reflect cash flow of the power station operation in a long time, we confirmed the predicted period is five years (including the fourth-quarter of the year 2007). It is from the year 2007 (the first year) to the year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5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Establishment of Benefit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operation period of the Yingchuan Hydropower Development Company is thirty years as stated in the company regulations, counting from the issuance of the operation license. The operation period stated in the business license of the enterprise as a legal person is from Aug. 26, 1998 to Aug. 25, 2028. On the base of the economic development prospect of generating power by water conservancy and supposing the enterprise to be operate continentally, the appraisal benefit period is permanent, namely from Sep. 30, 2007 to the permanency.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5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Establishment of the Discounting Rate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principle of unifying the earning capacity and the discounting rate, the earning capacity is entity cash flow, so the discounting rate” r” will choose the weighted average cost of capital (WACC), i.e., the return on investment capital, also called investment capital cost, a comprehensive return rate decided by the structure and return rate of the shareholders’ equity capitals and interest-payment debenture capitals.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computing formula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WACC = Ke*We+Kd*(1-T)*Wd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 Shareholders’ equity capital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Kd: debenture capital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the ratio of shareholders’ equity capital in the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Wd: the ratio of debenture capital in the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valid income tax rate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5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Definition of Ke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capital asset pricing model (CAPM) and on this base, considering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individual risk earning of Yingchuan Hydropower Development Company, the computing formula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 Rf+β×Rpm+A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risk-free return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RPm: market risk premium;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individual risk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5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Risk-free Return Rate Rf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annual interest of the registered national debt (seven-year term) face value in 2007 (the fourteenth term) is 3.9% and if converted into the compound interest, the interest is 3.51%, so the risk-free return rate is 3.51%.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5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Enterprise risk coefficient β</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is confirmed according to inquiry the enterprise analogous Hu Shen A shares stock listed company Beta value, the specific confirmation process as follows: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Firstly, on the base of Beta without the finance lever from the listed companies of the same kind, the average Beta without the finance lever can be worked out. According to the interest-bearing debt status as well as the future financing plan of the enterprise, the Beta of the enterprise can be worked out.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Through calculation, the Beta without finance level in the listed companies of the same kind is 0.2939.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According to the operation capacity, financing capacity and the future capital structure of the enterprise, the debt/equity ratio (D/E) from October 2007 to 2011 can be determined. Through the formula βL=(1+(1-T)×D/E)×βU, we can work out the Beta coefficient of the enterprise, see the following table.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25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Change w:id="0">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Oct.- Dec.,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interest liability D/ equity 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income 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BETA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6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Market Risk Premium Rpm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Domestic securities market is an emerging but bundle one. On one hand, the domestic market has a relatively shorter history data and in the first several years of its establishment, the speculation atmosphere was pregnant, so the market fluctuation is large; on the other hand, presently, the control over the exchange flow under the capital account is strict, plus the particularity of the stock equity separation, so the stock equity risk premium deduced directly from the history data has a low reliability, while in the mature market, owing the long history data, the overall stock equity risk premium on the market could be got from analyzing the history data, so the risk premium of international emerging markets commonly could be decided by the risk premium of the mature market. In this appraisal, the market risk premium Rpm is 7.5%.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6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risk adjustment coefficient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According to the operation data statistics in the previous years, the power station has reached power generation capacity stated in the preliminary design report. Its installed capacity is 40,000kW, and its income is stable under the current power generation capacity. With the local government’s reconstruction on the power transmission circuit, the local power transmission capability is improved, and its power generation capacity is increased in the rainy season, so that its annual power generation capacity can be improved accordingly. Meanwhile, the coordination of Lishui Hydropower Bureau can improve its peak/valley ratio so as to increase income. Considering the influence of the aforesaid factors on revenue, this appraisal believes that it has certain operation risk. At present, the assets/liabilities ratio of the enterprise is not high and its business finance risk is not high. Whereas the above content, the specific risk adjustment “A” is confirmed to be 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6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Equity Capital Return Rate 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 = Rf+β×Rpm+A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6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Change w:id="0">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Oct.- Dec.,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Rf</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BETA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6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Kd, the ratio of calculated finance expenses (according to the actually performed interest-paid accounting contract) / the actual interest-paid accounts (in the same period). Kd value shall be determined year by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Definition of We and Wd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combination with the future operation condition, financing capability and capital structure planning of the company, the proportion of the capitals in the total capital;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Definition of WACC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WACC is estimated according to corporate income tax rate and forementioned indices.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26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Change w:id="0">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Oct.- Dec.,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Liability proportion ( Wd))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0.26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Equity proportion (We)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Corporate income tax rate (T)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WACC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6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Shareholders Equity Value Calculation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entire shareholders’ equity is decided according to the present actual operation status of the appraised enterprise, by means of subsection forecast of the future income of Yingchuan Hydropower Development Company and converting the income into cash to realize its entity value, which then shall be deducted by the interest-payment liabilities. Firstly, the annual cash flow of the Yingchuan Hydropower Development Company from 2007 to 2011 is forecast; secondly, it is presumed that the enterprise will run permanently and the entity cash flow remains the same as that of 2012 after the year 2012; Thirdly, according to the selected discounting rate, the aforesaid two-stage entity cash flows are converted into cash; Fourthly, they shall be summed up and the entity value of Yingchuan Hydropower Development Company is figured out; Finally, The shareholders equity value is obtained by liability value subtracted from entity value. Entity value computing formula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676400" cy="171450"/>
            <wp:effectExtent b="0" l="0" r="0" t="0"/>
            <wp:docPr descr="(GRAPHIC)" id="1" name="image6.gif"/>
            <a:graphic>
              <a:graphicData uri="http://schemas.openxmlformats.org/drawingml/2006/picture">
                <pic:pic>
                  <pic:nvPicPr>
                    <pic:cNvPr descr="(GRAPHIC)" id="0" name="image6.gif"/>
                    <pic:cNvPicPr preferRelativeResize="0"/>
                  </pic:nvPicPr>
                  <pic:blipFill>
                    <a:blip r:embed="rId10"/>
                    <a:srcRect b="0" l="0" r="0" t="0"/>
                    <a:stretch>
                      <a:fillRect/>
                    </a:stretch>
                  </pic:blipFill>
                  <pic:spPr>
                    <a:xfrm>
                      <a:off x="0" y="0"/>
                      <a:ext cx="1676400" cy="1714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67"/>
        <w:tblW w:w="9360.0" w:type="dxa"/>
        <w:jc w:val="left"/>
        <w:tblInd w:w="0.0" w:type="pct"/>
        <w:tblLayout w:type="fixed"/>
        <w:tblLook w:val="0600"/>
      </w:tblPr>
      <w:tblGrid>
        <w:gridCol w:w="400"/>
        <w:gridCol w:w="748.8"/>
        <w:gridCol w:w="400"/>
        <w:gridCol w:w="7811.2"/>
        <w:tblGridChange w:id="0">
          <w:tblGrid>
            <w:gridCol w:w="400"/>
            <w:gridCol w:w="748.8"/>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which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 the entity value of the enterprise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Rt: the entity cash flow in the T</w:t>
            </w:r>
            <w:r w:rsidDel="00000000" w:rsidR="00000000" w:rsidRPr="00000000">
              <w:rPr>
                <w:rFonts w:ascii="Times New Roman" w:cs="Times New Roman" w:eastAsia="Times New Roman" w:hAnsi="Times New Roman"/>
                <w:color w:val="000000"/>
                <w:sz w:val="16"/>
                <w:szCs w:val="16"/>
                <w:vertAlign w:val="baseline"/>
                <w:rtl w:val="0"/>
              </w:rPr>
              <w:t xml:space="preserve">th </w:t>
            </w:r>
            <w:r w:rsidDel="00000000" w:rsidR="00000000" w:rsidRPr="00000000">
              <w:rPr>
                <w:rFonts w:ascii="Times New Roman" w:cs="Times New Roman" w:eastAsia="Times New Roman" w:hAnsi="Times New Roman"/>
                <w:color w:val="000000"/>
                <w:sz w:val="20"/>
                <w:szCs w:val="20"/>
                <w:rtl w:val="0"/>
              </w:rPr>
              <w:t xml:space="preserve">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 weighted average cost of capital; 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 the forecast year;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68"/>
        <w:tblW w:w="9360.0" w:type="dxa"/>
        <w:jc w:val="left"/>
        <w:tblInd w:w="0.0" w:type="pct"/>
        <w:tblLayout w:type="fixed"/>
        <w:tblLook w:val="0600"/>
      </w:tblPr>
      <w:tblGrid>
        <w:gridCol w:w="400"/>
        <w:gridCol w:w="842.4"/>
        <w:gridCol w:w="842.4"/>
        <w:gridCol w:w="400"/>
        <w:gridCol w:w="6875.2"/>
        <w:tblGridChange w:id="0">
          <w:tblGrid>
            <w:gridCol w:w="400"/>
            <w:gridCol w:w="842.4"/>
            <w:gridCol w:w="842.4"/>
            <w:gridCol w:w="400"/>
            <w:gridCol w:w="68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 and n+1: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are the last year of the forecast period and the first year after the forecast period respectively;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16"/>
                <w:szCs w:val="16"/>
                <w:vertAlign w:val="baseline"/>
                <w:rtl w:val="0"/>
              </w:rPr>
              <w:t xml:space="preserve">n+1</w:t>
            </w: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entity cash flow of the (n+1)</w:t>
            </w:r>
            <w:r w:rsidDel="00000000" w:rsidR="00000000" w:rsidRPr="00000000">
              <w:rPr>
                <w:rFonts w:ascii="Times New Roman" w:cs="Times New Roman" w:eastAsia="Times New Roman" w:hAnsi="Times New Roman"/>
                <w:color w:val="000000"/>
                <w:sz w:val="16"/>
                <w:szCs w:val="16"/>
                <w:vertAlign w:val="baseline"/>
                <w:rtl w:val="0"/>
              </w:rPr>
              <w:t xml:space="preserve"> th</w:t>
            </w:r>
            <w:r w:rsidDel="00000000" w:rsidR="00000000" w:rsidRPr="00000000">
              <w:rPr>
                <w:rFonts w:ascii="Times New Roman" w:cs="Times New Roman" w:eastAsia="Times New Roman" w:hAnsi="Times New Roman"/>
                <w:color w:val="000000"/>
                <w:sz w:val="20"/>
                <w:szCs w:val="20"/>
                <w:rtl w:val="0"/>
              </w:rPr>
              <w:t xml:space="preserve"> year, namely the first-year pre-interest cash flow after taxes after the forecast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6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Selection of Data Estimations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financial data forecast of Yingchuan Hydropower Development Company has been adjusted based on the manufacturing and operation capacity in the preliminary design, in accordance with national current related laws, codes and macro-policies, the status and foreground of the China power industry, and trend of Zhejiang power and according to the analysis the predominance and risk of the enterprise, especially the market environment and development prospect and potentials of the enterprises, the appraisers carried out necessary analyses and judgment for the profit forecast from the year 2007 to the year 2011. And the rationality of forecast is affirmed, specific adjustment are based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7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Prime Operating Revenue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prime operating revenue Yingchuan Hydropower Development Company, as a hydroelectric enterprise, is the income from power sales.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forecast, various operational indicators influence on the income should be taken into consideration.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7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Installed generation capacity: refer to preliminary design, it is confirmed according to practical installed generation capacity.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Utilization hours in a year: it is confirmed according to preliminary design capability, refer to operation of the unit record in pass years and the future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7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generation growth factor should be taken into consideration.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station service power consumption rate, transformer loss rate and the line loss rate for the exclusive power supply and transformation: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station service power consumption rate and transformer loss rate are calculated according to ratio of operation record statistic the grid power to annual power generation. The line loss rate for the exclusive power supply and transformation is calculated by adopting 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estimation of the grid power: it is estimated based on the aforesaid indicators.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Establishment of the power price: it is established according to </w:t>
            </w:r>
            <w:r w:rsidDel="00000000" w:rsidR="00000000" w:rsidRPr="00000000">
              <w:rPr>
                <w:rFonts w:ascii="Times New Roman" w:cs="Times New Roman" w:eastAsia="Times New Roman" w:hAnsi="Times New Roman"/>
                <w:i w:val="1"/>
                <w:color w:val="000000"/>
                <w:sz w:val="20"/>
                <w:szCs w:val="20"/>
                <w:rtl w:val="0"/>
              </w:rPr>
              <w:t xml:space="preserve">Parallel in economic agreement </w:t>
            </w:r>
            <w:r w:rsidDel="00000000" w:rsidR="00000000" w:rsidRPr="00000000">
              <w:rPr>
                <w:rFonts w:ascii="Times New Roman" w:cs="Times New Roman" w:eastAsia="Times New Roman" w:hAnsi="Times New Roman"/>
                <w:color w:val="000000"/>
                <w:sz w:val="20"/>
                <w:szCs w:val="20"/>
                <w:rtl w:val="0"/>
              </w:rPr>
              <w:t xml:space="preserve">that was signed by the enterprise and Lishui Electric Power Bureau, the actual settlement power price and </w:t>
            </w:r>
            <w:r w:rsidDel="00000000" w:rsidR="00000000" w:rsidRPr="00000000">
              <w:rPr>
                <w:rFonts w:ascii="Times New Roman" w:cs="Times New Roman" w:eastAsia="Times New Roman" w:hAnsi="Times New Roman"/>
                <w:i w:val="1"/>
                <w:color w:val="000000"/>
                <w:sz w:val="20"/>
                <w:szCs w:val="20"/>
                <w:rtl w:val="0"/>
              </w:rPr>
              <w:t xml:space="preserve">Explanation on Yingchuan Power Station ‘ parallel in economic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estimation of the prime operating revenue: it is estimated based on the aforesaid indicators.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7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Prime Operating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prime operating cost includes salary, depreciation and amortization, water resources fee, repair charge, mini hydro management fee, running cost. It is estimated according to cost real data of Yingchuan Hydropower Development Company during its main business trial running and the break-even cost data during preliminary design. The future increase is also considered.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7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Based on the 2007 level, wages of workers will rise 5% per annum to 2011. the wage level in the year 2012 and the year after will held the line. The number of employee is confirmed according to personnel arrangement in preliminary design report and practical situation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Depreciation and amortization are determined according to practical provision of monthly depreciation level. The cost of water resources shall exercise the current standard: RMB 0.01 yuan for 1kW.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Maintenance expenses: because the hydropower station is nearly established, the maintenance expenses are increasingly growing year by year from the year 2007. It will reach 0.5% of the predicted original value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7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assets in the year 2011. Subsequently, the annual maintenance expenses retain constant.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cost of water resources shall exercise the current standard: RMB 0.01 yuan for 1kW.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cost of mini hydro management shall exercise the current standard: it is taken according to 35% of the cost of water resources.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7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Tax and Associate Charge of Main Operations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Taxes and associate charges of main operations include urban construction tax and education surtax, which shall be estimated according to current tax standards, namely the urban construction tax is 1% of the actual paid value added tax and the education surtax is 3% of the actual paid value added tax. The local education surtax is 2% of the actual paid value added tax, The water conservancy construction fund is 0.1% of the actual paid value added tax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Management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management cost includes salary, employee welfare cost, labor union expenditure, staff education expenditure, staff endowment insurance, bonus, amorization of intangible assets and other management cost.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7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Based on the 2007 level, wages of workers will rise 5% per annum to 2011. The wage level in the year 2012 and the year after will hold the line. The number of employee is confirmed according to personnel arrangement in preliminary design report and practical situation.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Staff welfare cost is estimated according to the current standard.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Labor union expenditure is estimated according to the current standard.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Staff education expenditure is estimated according to the current standard.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Staff endowment insurance is referred to the current standard.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Bonus is estimated according to the current bonus standard.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amortization of the intangible assets is estimated on the base of the actual amounts incurred in the previous years.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management expenses are estimated on the base of the actual amounts incurred in the previous years.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78"/>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7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Financial expenses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Financial expenses: it is estimated according to enterprise implementary loan agreement and in combination with the future operation condition, financing capability and future capital structure planning of the enterprise.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Non-operating Income and Non-operating Expenses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Non-operating revenues and expenses are not recur renting items, so they haven’t been taken into consideration in this profit forecast.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Corporate income tax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corporate income tax is determined according to the Company’s implemented tax rate: in 2007, it is estimated according to the current income tax rate (33%). After the year 2008, it will carry out the new income tax rate stated by the newly-published “Enterprise Income Tax Law of the People’s Republic of China”, i.e. 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After-tax Profit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Based on the said profit and loss items like income and cost, the after-tax profit is decided.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Net Investment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 investment = capital expenditure + increase of operation funds - depreciation and amortization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8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Capital Expenditure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capital expenditure is decided by the new power station plan. At the same time, on the condition of the permanent operation of the enterprise, the funds of depreciation and amortization are equivalent to the capital expenditure. Because the appraisal takes no account of additional investment, provided that the enterprise kept simple reproduction and the facility requires resetting, the annual capital expenditure sum is equal to the provision of depreciation of equipment.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Increase of Operation Funds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8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demand for the operation funds in the company is slim and the cash flow brought by the daily power sales is able to support the daily operation turnover, so the increase of operation funds is taken no account 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Depreciation and Amortization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forecast value of the depreciation and amortization is decided on the basis of forecast depreciation of fixed assets of main business cost.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8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Forecast of Annual Stockholders’ Cash Flow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According to the said forecasts, the forecast of annual shareholders’ cash flow is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RMB, 10 thousand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8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Change w:id="0">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Oct.- Dec.,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I. Prime Operating Revenue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636.68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4,655.93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5,028.09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5,028.09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5,028.09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discount distribution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Prime Operating net sale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636.68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4,655.93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5,028.09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5,028.09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5,028.09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Cost of Main Operations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1,209.81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1,221.43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1,233.23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Tax and Associate Charge of Main Operations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21.42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Profits from Main Operations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308.12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3,438.42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3,795.15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3,783.53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3,771.73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Add: other business profit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the operation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General and Administrative Expense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283.70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295.10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307.15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319.63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792.53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560.47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265.67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III. Operating Income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19.52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2,362.19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2,939.58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3,145.01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3,186.43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investment 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Subsidiary earnings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Non-operating 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Non-operating Expense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Income Before 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2,362.19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2,939.58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3,145.01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3,186.43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8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Change w:id="0">
          <w:tblGrid>
            <w:gridCol w:w="2900.0198609731883"/>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gridCol w:w="362.50248262164854"/>
            <w:gridCol w:w="309.83118172790466"/>
            <w:gridCol w:w="309.83118172790466"/>
            <w:gridCol w:w="309.831181727904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Oct.- Dec.,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Income 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590.55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734.90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786.25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796.61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Net 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1,771.64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2,204.68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2,358.76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2,389.82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VI. Pre-interest Profit After Taxes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151.97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2,366.04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2,625.04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2,607.29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2,589.08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depreciation and amortization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the capital expenditure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49.79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business current assets increment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VII. Entity cash flow</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324.30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3,054.67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3,313.67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3,295.92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3,277.71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shd w:fill="auto" w:val="clear"/>
        </w:rPr>
      </w:pPr>
      <w:r w:rsidDel="00000000" w:rsidR="00000000" w:rsidRPr="00000000">
        <w:rPr>
          <w:rtl w:val="0"/>
        </w:rPr>
      </w:r>
    </w:p>
    <w:tbl>
      <w:tblPr>
        <w:tblStyle w:val="Table28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estimation for entity cash flow present value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Through above indictor’s estimation, it is calculated by adopting the above-mentioned entity cash flow calculation of present value. The entity value of enterprise forever operation state is RMB 452.7187 Million.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Shareholders equity value calculation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Shareholders equity value = entity value– liability value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8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Liability value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enterprise has RMB 97.1388 Million for various payment of interest accounting on appraisal base day. The liability value is RMB 97.1388 Million.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Interests Value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Shareholders equity value = entity value - liability value= 452,718,700-97,138,800 = 355,579,900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XI Implementation Process and Conditions of Appraisal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appraisal process can be divided into five stages: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8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Acceptance of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 jobs of this stage include: defining appraisal objectives, scope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appraisal base day, establishing work scheme of assets appraisal and signing agreement on assets appraisal.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8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Preparations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8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required by the assets appraisal, arranging the application form of assets appraisal for the entrustee and the appraised enterprise and assisting the appraised enterprise for assets declaration;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Collecting and preparing materials required by assets appraisal.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Assets Check and Verification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Listening to introductions on the enterprise status, the history and status of the appraised assets by persons concerned in the assets-holding enterprise;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Consulting and discriminating the application form of assets appraisal provided by the enterprise, checking and verifying the physical assets with the financial records of the enterprise, proving the authenticity and integrality of declaration materials submitted by the enterprise;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Verifying the real objects on the scene according to the application form of assets appraisal, looking into and recording the assets conditions, talking with asset management personnel to learn the operation and management status of assets, investigating whether there are overage assets influencing appraisal;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Examining certificates of the property right of the appraised assets, equipment purchase contract, accounting materials like account current and invoices, and making clear of the enterprise assets property right;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Consulting the project approximate budget and audit materials, spot-examining assets discharge statement, equipment operation records, maintenance and accident records and looking into the remaining status of assets to confirm the continuous development of assets operation;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Investigating the operation, financial and future development status of the enterprise, making proper adjustments after analyzing related indices;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Investigating and confirming the market environment where the appraised enterprise is located.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9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Estimations and Gathering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Analyzing obtained materials and selecting proper appraisal approaches according to the status and features of the appraised assets;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Acquiring pricing basis and price materials;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Calculating the appraisal value;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Analyzing the appraisal conclusion and adjusting, amend and perfecting the assets appraisal result;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Writing appraisal explanations and appraisal report;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Carrying out three-level double checks, supplementing and amending the appraisal report and appraisal explanations.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Submittal of the Report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According to the appraisal condition, submitting Assets Appraisal report discussion draft to the entrustee; according to opinions from the entrustee and the assets-holding enterprise, making necessary amendments; submitting a formal Assets Appraisal report to the entrustee after it has been confirmed all right by the entrustee and the appraised enterprise.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XII Appraisal Conclusions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9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Legal Property Right of the Appraisal Subject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work of certified public valuers aims to estimate and professionally comment the value of the appraisal subject, but the confirmation of the legal property right of the appraisal subject or comment on them is beyond their work scope. The entrustee and the related disputing party shall offer materials on the legal property right of the appraisal subject and shall assume all responsibilities on the authenticity, legitimacy and integrality of such materials. Certified public valuers are not entitled to confirm or comment the legal property right of the appraisal subject, so we hereby provide no guarantee to the legal property of the appraisal subject. The entrustee and related disputing parties shall pay attention to this.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According to Opinion on Certified Public Valuer Focusing on the Legal Right 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9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Appraisal Subject, on the appraisal scene, appraisers have properly paid attention to the property right to the appraisal subject, collected and checked certificates of the legal property right of the appraisal subject and investigated issues concerning the property right.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Yingchuan Hydropower Station is the major assets of Yingchuan Hydropower Development Co., Ltd. The property ownership certificates of the hydropower station (JINGZI No.00011244, No.00011245 and No.00011246) have been transacted already. The owner of the properties is Jingning Yingchuan Hydropower Development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hydropower station has four plots of land, for which the state-owned land use certificates have been transacted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land use certificate No. of the plant site land is JINGGUOYONG No.029 (2003), and the land user hereof is Zhejiang Guangsha Jingning Yingchuan Hydropower Development Co., Ltd., for which the user name alteration formalities have not been transacted.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land use certificate No. of the reservoir is JINGGUOYONG No.030 (2003), and the land user hereof is Zhejiang Guangsha Jingning Yingchuan Hydropower Development Co., Ltd., for which the user name alteration formalities have not been transacted.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land use certificate No. of Zhidongkou, Xincun Village is JINGGUOYONG No.866 (2003), and the land user hereof is Zhejiang Guangsha Jingning Yingchuan Hydropower Development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land use certificate No. of Zhidongkou, Huangyangcun Village is JINGGUOYONG No.867 (2003), and the land user hereof is Zhejiang Guangsha Jingning Yingchuan Hydropower Development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land use right type of the four plots of land is transfer.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Santana Car with license Zhe No.KA8375, owned by Yingchuan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9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Hydropower Company, its owner is Zhejiang Guangsha Jingning Yingchuan Hydropower Development Co., Ltd., for which the user name alteration formalities have not been transacted.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Yingchuan Hydropower Company signed mortgage contract (mortgage contract N</w:t>
            </w:r>
            <w:r w:rsidDel="00000000" w:rsidR="00000000" w:rsidRPr="00000000">
              <w:rPr>
                <w:rFonts w:ascii="Times New Roman" w:cs="Times New Roman" w:eastAsia="Times New Roman" w:hAnsi="Times New Roman"/>
                <w:color w:val="000000"/>
                <w:sz w:val="20"/>
                <w:szCs w:val="20"/>
                <w:u w:val="single"/>
                <w:vertAlign w:val="baseline"/>
                <w:rtl w:val="0"/>
              </w:rPr>
              <w:t xml:space="preserve">o</w:t>
            </w:r>
            <w:r w:rsidDel="00000000" w:rsidR="00000000" w:rsidRPr="00000000">
              <w:rPr>
                <w:rFonts w:ascii="Times New Roman" w:cs="Times New Roman" w:eastAsia="Times New Roman" w:hAnsi="Times New Roman"/>
                <w:color w:val="000000"/>
                <w:sz w:val="20"/>
                <w:szCs w:val="20"/>
                <w:rtl w:val="0"/>
              </w:rPr>
              <w:t xml:space="preserve">33902200700024141) with Jingning She Autonomous County Branch, Agricultural Bank of China. The assets of Ying Chuan hydropower station is mortgaged to She Nationality Autonomous County Branch, Jingning, Agricultural Bank of China. The medium term loan sum is RMB 25 Million. The term of performance of an obligation of the debtor is from May 10, 2007 to May 9,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9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Appraisal conclusion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 to the appraisal base day Sep. 30, 2007, by means of income approach, the entity value appraisal value of Yingchuan Hydropower Development Company is RMB 452.7187 Million and all shareholders equity appraisal value is RMB 355.5799 Million.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Explanations to Appraisal Conclusions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selling price of power in Yingchuan Hydropower Development Company is in accordance with the current standard, taking no consideration of prospective adjustment.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 the enterprise has been operated for more than 5 years, it enjoys the preferential policies of corporate income tax relief no longer.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the local government’s reconstruction for the external power transmission circuit, the power transmission capability improvement can increase the power generation capacity of the Yingchuan Hydropower Station in high water period, subsequently; the annual power generation capacity can be improved. In the forecast year, as the consummating of the locat electrical network structure and the fortified management the entrustee would improve the power generation peak-valley ratio via coordination and reach the expected goal through Lishui Electricity Generating Board. This appraisal takes the above factors’ influence on the power generation and peak to valley ratio into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9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estimation of grid power quantity is estimated on the base of the operation data in the previous years, considering the multi-year average power output as well as the improved power transmission capability from the grid reconstruction into consideration. In the actual operation, the grid power quantity may be higher or lower than the aforesaid level due to the impacts of the natural factors.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appraisal conclusion is the working results after carrying out all the aforesaid appraisal procedure. The appraisal conclusion is not a guarantee for the operation status and operation achievements of the enterprise in the future.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XIII Explanations to Particular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Issues that may influence the appraisal conclusions but are beyond the capabilities of appraisers for estimation are including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9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Assets and liabilities of Yingchuan Hydropower Development Company to be appraised have already been audited by the China certified account and acquired the audited accounting statement on the appraisal base day.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Materials provided by the top management of Yingchuan Hydropower Development Company and other personnel are the basis of this report, so Yingchuan Hydropower Development Company shall be responsible for the authenticity, legitimacy and allsidedness of such materials. For defect issues that exist in Yingchuan Hydropower Development Company and may influence the appraisal conclusions, if not particularly stated or expressed clearly in the appraisal field investigation or unable to be obtained according to the professional experience, the appraisal institution and appraisers shall be exempt from any responsibilities thereof.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Yingchuan Hydropower Development Company submitted </w:t>
            </w:r>
            <w:r w:rsidDel="00000000" w:rsidR="00000000" w:rsidRPr="00000000">
              <w:rPr>
                <w:rFonts w:ascii="Times New Roman" w:cs="Times New Roman" w:eastAsia="Times New Roman" w:hAnsi="Times New Roman"/>
                <w:i w:val="1"/>
                <w:color w:val="000000"/>
                <w:sz w:val="20"/>
                <w:szCs w:val="20"/>
                <w:rtl w:val="0"/>
              </w:rPr>
              <w:t xml:space="preserve">Yingchuan hydropower station preliminary design report </w:t>
            </w:r>
            <w:r w:rsidDel="00000000" w:rsidR="00000000" w:rsidRPr="00000000">
              <w:rPr>
                <w:rFonts w:ascii="Times New Roman" w:cs="Times New Roman" w:eastAsia="Times New Roman" w:hAnsi="Times New Roman"/>
                <w:color w:val="000000"/>
                <w:sz w:val="20"/>
                <w:szCs w:val="20"/>
                <w:rtl w:val="0"/>
              </w:rPr>
              <w:t xml:space="preserve">and </w:t>
            </w:r>
            <w:r w:rsidDel="00000000" w:rsidR="00000000" w:rsidRPr="00000000">
              <w:rPr>
                <w:rFonts w:ascii="Times New Roman" w:cs="Times New Roman" w:eastAsia="Times New Roman" w:hAnsi="Times New Roman"/>
                <w:i w:val="1"/>
                <w:color w:val="000000"/>
                <w:sz w:val="20"/>
                <w:szCs w:val="20"/>
                <w:rtl w:val="0"/>
              </w:rPr>
              <w:t xml:space="preserve">The Profit Forecast from the Year 2007 to 2011 </w:t>
            </w:r>
            <w:r w:rsidDel="00000000" w:rsidR="00000000" w:rsidRPr="00000000">
              <w:rPr>
                <w:rFonts w:ascii="Times New Roman" w:cs="Times New Roman" w:eastAsia="Times New Roman" w:hAnsi="Times New Roman"/>
                <w:color w:val="000000"/>
                <w:sz w:val="20"/>
                <w:szCs w:val="20"/>
                <w:rtl w:val="0"/>
              </w:rPr>
              <w:t xml:space="preserve">and the analysis of the efficiency increasing statement of Yingchuan Hydroelectric Station</w:t>
            </w:r>
            <w:r w:rsidDel="00000000" w:rsidR="00000000" w:rsidRPr="00000000">
              <w:rPr>
                <w:rFonts w:ascii="Times New Roman" w:cs="Times New Roman" w:eastAsia="Times New Roman" w:hAnsi="Times New Roman"/>
                <w:i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which are one of the main bases for the appraisal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9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has been assumed that assets of the Yingchuan Power Station have been pledged, so the influence from other rights like pledge and guarantee in the appraisal conclusions hasn’t been taken into consideration.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Interests or obligations beyond the appraisal scope, such as contingent benefit, contingent assets or contingent liabilities, haven’t been taken into consideration.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hereby notified that the report users shall pay attention to the influence on the appraisal conclusions from the said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XIV Major Issues after Appraisal Base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9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They refer to key issues that happen between the appraisal base day and the submittal day of the appraisal report.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key issues that haven’t been provided by the appraised enterprise or discovered by appraisers after the appraisal base day;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the appraisal base day and within the valid period of the appraisal report, if the amount of assets varies, it shall be priced according to the original appraisal approach of such assets and corresponding adjustments of assets shall be made. Due to specific causes, if the price standard of assets has been changed, which has obviously influenced the appraisal assets. the entrustee shall request the appraisal institution to reassess the appraisal value according to the practical situations.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XV Legal Effect of the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9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Appraisal conclusions stated in the report are merely a reflection of the current fair market price that was decided according to the principle of open market, of the appraised assets under the appraisal objectives, taking no consideration of influences from losses caused by activities like pledge and guarantee, or significant changes of the national macroeconomic policies, or natural forces and other force majeure. The precondition of this report is the continuous operation of the assets, so if the precondition is changed, the appraisal conclusions will be null. The report is exclusive for the appraisal objectives, so the signing certified public valuers and the appraisal institution shall be exempt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30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any responsibilities from results caused by misapplications.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valid date of this report is one year, namely from September 30, 2007 to September 29, 2008. During this period, if the appraisal objectives are to be realized, the report shall work as the pricing basis and shall be adjusted, in the form of self-regulating or entrusting the appraisal company, according to issues concerned after the appraisal base day, the appraisal conclusions in this will be invalid after one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Appraisal conclusions in this report are exclusive for the entrustee to realize the appraisal objectives.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XVI Appraisal Reporting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formal presentation data of the Assets Appraisal report is November 15,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text in this passage)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Institution: Beijing Jing Du Assets Valuation Company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of Assets Appraisal Institution: Jiang Jianying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Certified Public Valuer: Wang 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Certified Public Valuer: Sun Chaohui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15,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Zhejiang Jingning Yingchuan Hydropower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 for Future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Jingning Yingchuan Hydropower Development Co., Ltd. Share Transfer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Statement on the Application Scope of Document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Future Reference of the Assets Appraisal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is exclusive for the economic activities to fulfill appraisal objectives and delivered to the administrative competent departments for assets appraisal for review. The use right of the appraisal report belongs to the entrustee, so without the permission of the entrustee, no offer or disclosure of this report shall be made by the appraisal institution. At the same time, without the approval of us, the whole or partial report shall not be published on the open media by the entrustee. Jingdu is exempt from any legal responsibilities for any other results of economic activities by due to the inappropriate quotation by the entrustee of the appraisal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15,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Beijing Jingdu Assets Valuation Co., Ltd.     3F, Scitech Plaza      Fax: 0086-10-65227608     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Breakdown of Restructuring Credits and Debts of the Object Company and Measures therefore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September 30, 2007, the Audit Report of Beijing Jingdu CPA Limited affirms that the capital balance in the finance account of Yingchuan Hydropower Project (“Object Company”, same as below) is RMB 238,386.62, the net worth balance of accounts receivable is RMB 10,639,814.20 (provision of bad-debt reserve RMB 559,990.22), the net worth balance of other receivables is RMB 8,417,616.45 (Provision of bad-debt reserve RMB 443,032.45) and the balance of liabilities other than those from banks is RMB 31,878,828.43.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consultation between the Transferors and the Transferee, they have agreed as follows regarding the aforesaid credits and debts (including currency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accordance with the Equity Interest Transfer Contract, the Transferors shall restructure the credits (including currency capital, amounts receivable and other receivables, same as below) and debts (including other payables, payable compensation to staff, tax payable, interest payable, excluding bank loans, same as below) of the Object Company, in other words, the Object Company will pass the credits and debts to Zhejiang Guangsha Hydropower Investment Co., Ltd by signing credits and debts agreements with creditors and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Upon restructuring, the Object Company shall receive from or pay Zhejiang Guangsha Hydropower Investment Co., Ltd RMB 12,593,011.16 as the difference between the credits and debts; in accordance with the Equity Interest Transfer Agreement and Framework Agreement, the Transferee shall pay Zhejiang Guangsha Hydropower Investment Co., Ltd such amount by increasing the registered capital; the credits and debts of the Object Company shall be enjoyed and borne by Guangsha Hydropower Investment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Changes in the credits and debts from the Base Date to Delivery Date shall be settled by the Transferors and Transferee through settling the credits and debts as of the Delivery Date in accordance with the Equity Interest Transfer Contract and these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Prior to the Delivery Date, returned taxes (if any) during the normal course of business of the Object shall belong to the Transferors; if such taxes are received by the Object Company after the Delivery Date, they shall be paid to Zhengjiang Guangsha Hydropower Investment Co.,Ltd within three (3) days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Breakdown of the credits and debts as of the assessment date is as follows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_________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Breakdown of Yingchuan Credits and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30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9.0368166604685"/>
        <w:gridCol w:w="348.0847898847154"/>
        <w:gridCol w:w="2443.5552249907028"/>
        <w:gridCol w:w="348.0847898847154"/>
        <w:gridCol w:w="348.0847898847154"/>
        <w:gridCol w:w="348.0847898847154"/>
        <w:gridCol w:w="348.0847898847154"/>
        <w:gridCol w:w="348.0847898847154"/>
        <w:gridCol w:w="1629.0368166604685"/>
        <w:gridCol w:w="348.0847898847154"/>
        <w:gridCol w:w="1221.7776124953514"/>
        <w:tblGridChange w:id="0">
          <w:tblGrid>
            <w:gridCol w:w="1629.0368166604685"/>
            <w:gridCol w:w="348.0847898847154"/>
            <w:gridCol w:w="2443.5552249907028"/>
            <w:gridCol w:w="348.0847898847154"/>
            <w:gridCol w:w="348.0847898847154"/>
            <w:gridCol w:w="348.0847898847154"/>
            <w:gridCol w:w="348.0847898847154"/>
            <w:gridCol w:w="348.0847898847154"/>
            <w:gridCol w:w="1629.0368166604685"/>
            <w:gridCol w:w="348.0847898847154"/>
            <w:gridCol w:w="1221.77761249535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By September 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 Yuan</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Unit or detail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Content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Note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Capital currency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228,386.62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Receivables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Lishui City Power Bureau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11,199,804.42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Revenue of power generation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Bad debt reserve 559,990.22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Other receivables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8,860,648.89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Bad debt reserve 443,032.45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Guangsha Shareholding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8,355,648.89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Loan deposit at Jingning Agricultural Bank of China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Pre-paid insurance through the life insurance company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Cheng Jun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credits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20,288,839.93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payables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24,487,639.81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Guangsha Hydropower Investment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22,881,639.81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Loans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Lishui Oujiang Power-generating Engineering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occupancy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Zhejiang Water Conservancy Hekou Research Institute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Consultancy fee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Lishui Power Industry Association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Membership fee to hydropower industry association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Jingning Feihong Hydropower Company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Maintenance fee for 10kv wire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Compensation payable to staff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427,050.62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Staff welfare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302,358.86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63,616.02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Union fee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61,075.74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Taxes payable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6,794,633.00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952,039.29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Urban maintenance and construction 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9,635.16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0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9.0368166604685"/>
        <w:gridCol w:w="348.0847898847154"/>
        <w:gridCol w:w="2443.5552249907028"/>
        <w:gridCol w:w="348.0847898847154"/>
        <w:gridCol w:w="348.0847898847154"/>
        <w:gridCol w:w="348.0847898847154"/>
        <w:gridCol w:w="348.0847898847154"/>
        <w:gridCol w:w="348.0847898847154"/>
        <w:gridCol w:w="1629.0368166604685"/>
        <w:gridCol w:w="348.0847898847154"/>
        <w:gridCol w:w="1221.7776124953514"/>
        <w:tblGridChange w:id="0">
          <w:tblGrid>
            <w:gridCol w:w="1629.0368166604685"/>
            <w:gridCol w:w="348.0847898847154"/>
            <w:gridCol w:w="2443.5552249907028"/>
            <w:gridCol w:w="348.0847898847154"/>
            <w:gridCol w:w="348.0847898847154"/>
            <w:gridCol w:w="348.0847898847154"/>
            <w:gridCol w:w="348.0847898847154"/>
            <w:gridCol w:w="348.0847898847154"/>
            <w:gridCol w:w="1629.0368166604685"/>
            <w:gridCol w:w="348.0847898847154"/>
            <w:gridCol w:w="1221.77761249535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By September 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 Yuan</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Unit or detail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Content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Note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Individual income 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595.00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Stamp 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5,087.42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Education surcharge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48,175.79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fund for Water conservancy projects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16,279.73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Water resource fee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1,200,806.10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 hydropower management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420,317.13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Enterprise income tax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4,141,697.38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Interest payable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169,505.00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debts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31,878,828.43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Letter of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Hydroeletric Corporation (CHC):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had provided guarantee for the following bank loans of Zhejiang Jingning Yingchuan Hydropower Development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0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6.58144419497364"/>
        <w:gridCol w:w="338.9584993119433"/>
        <w:gridCol w:w="3886.4981531107414"/>
        <w:gridCol w:w="338.9584993119433"/>
        <w:gridCol w:w="793.1628883899473"/>
        <w:gridCol w:w="338.9584993119433"/>
        <w:gridCol w:w="338.9584993119433"/>
        <w:gridCol w:w="338.9584993119433"/>
        <w:gridCol w:w="338.9584993119433"/>
        <w:gridCol w:w="338.9584993119433"/>
        <w:gridCol w:w="555.2140218729631"/>
        <w:gridCol w:w="338.9584993119433"/>
        <w:gridCol w:w="338.9584993119433"/>
        <w:gridCol w:w="338.9584993119433"/>
        <w:gridCol w:w="338.9584993119433"/>
        <w:tblGridChange w:id="0">
          <w:tblGrid>
            <w:gridCol w:w="396.58144419497364"/>
            <w:gridCol w:w="338.9584993119433"/>
            <w:gridCol w:w="3886.4981531107414"/>
            <w:gridCol w:w="338.9584993119433"/>
            <w:gridCol w:w="793.1628883899473"/>
            <w:gridCol w:w="338.9584993119433"/>
            <w:gridCol w:w="338.9584993119433"/>
            <w:gridCol w:w="338.9584993119433"/>
            <w:gridCol w:w="338.9584993119433"/>
            <w:gridCol w:w="338.9584993119433"/>
            <w:gridCol w:w="555.2140218729631"/>
            <w:gridCol w:w="338.9584993119433"/>
            <w:gridCol w:w="338.9584993119433"/>
            <w:gridCol w:w="338.9584993119433"/>
            <w:gridCol w:w="338.95849931194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Lending Bank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Expiry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Annual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Agricultural Bank of China, Mingzhu Sub-branch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 31,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7.1154%-7.3278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Agricultural Bank of China, Jingning Shezu Autonomous County Sub-branch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Aug.20,2009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0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Whereas CHC is willing to purchase one hundred percent of the equity interest of Jingning Yingchuan Hydropower Development Co., Ltd, we hereby undertake that: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will continually fulfill our guarantee obligations under above-mentioned guarantee contracts until the fulfillment of the guarantee contracts are legally completed.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creditor, the lending bank, requests us to provide the guarantee and perform the procedure separately, we hereby undertake that, prior to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05"/>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0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remitting date specified in Article 8.3 of “Formal Equity Interest Transfer Contract of Jingning Yingchuan Hydropower Development Co., Ltd” signed by CHC, Zhejiang Guangsha Stock Co., Ltd and Zhejiang Guangsha Hydropower Investment Co., Ltd, we will provide the relevant guarantee and perform the procedure unconditionally in accordance with the creditor’s requirements and provide an ongoing guarantee for the undue loans of Qingtian Wuliting Hydropower Development Co., Ltd.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Guangsha Construction Group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13,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6.gif"/><Relationship Id="rId9" Type="http://schemas.openxmlformats.org/officeDocument/2006/relationships/image" Target="media/image10.gif"/><Relationship Id="rId5" Type="http://schemas.openxmlformats.org/officeDocument/2006/relationships/image" Target="media/image7.gif"/><Relationship Id="rId6" Type="http://schemas.openxmlformats.org/officeDocument/2006/relationships/image" Target="media/image9.gif"/><Relationship Id="rId7" Type="http://schemas.openxmlformats.org/officeDocument/2006/relationships/image" Target="media/image8.gif"/><Relationship Id="rId8" Type="http://schemas.openxmlformats.org/officeDocument/2006/relationships/image" Target="media/image11.gif"/></Relationships>
</file>