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REGISTRATION RIGHTS AGREEMENT (this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January 7, 2010 by and among GOLDEN MINERALS COMPANY,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MH ARGENTINA S.A., a </w:t>
      </w:r>
      <w:r w:rsidDel="00000000" w:rsidR="00000000" w:rsidRPr="00000000">
        <w:rPr>
          <w:rFonts w:ascii="times new roman" w:cs="times new roman" w:eastAsia="times new roman" w:hAnsi="times new roman"/>
          <w:i w:val="1"/>
          <w:sz w:val="20"/>
          <w:szCs w:val="20"/>
          <w:rtl w:val="0"/>
        </w:rPr>
        <w:t xml:space="preserve">sociedad anonima</w:t>
      </w:r>
      <w:r w:rsidDel="00000000" w:rsidR="00000000" w:rsidRPr="00000000">
        <w:rPr>
          <w:rFonts w:ascii="times new roman" w:cs="times new roman" w:eastAsia="times new roman" w:hAnsi="times new roman"/>
          <w:sz w:val="20"/>
          <w:szCs w:val="20"/>
          <w:rtl w:val="0"/>
        </w:rPr>
        <w:t xml:space="preserve"> organized under the laws of Argentina (“</w:t>
      </w:r>
      <w:r w:rsidDel="00000000" w:rsidR="00000000" w:rsidRPr="00000000">
        <w:rPr>
          <w:rFonts w:ascii="times new roman" w:cs="times new roman" w:eastAsia="times new roman" w:hAnsi="times new roman"/>
          <w:i w:val="1"/>
          <w:sz w:val="20"/>
          <w:szCs w:val="20"/>
          <w:rtl w:val="0"/>
        </w:rPr>
        <w:t xml:space="preserve">Hochschild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connection with the Purchase and Sale Agreement by and among the Company, Hochschild and certain other parties dated December 30, 2009 (the “</w:t>
      </w:r>
      <w:r w:rsidDel="00000000" w:rsidR="00000000" w:rsidRPr="00000000">
        <w:rPr>
          <w:rFonts w:ascii="times new roman" w:cs="times new roman" w:eastAsia="times new roman" w:hAnsi="times new roman"/>
          <w:i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the Company has agreed, upon the terms and subject to the conditions of the Purchase Agreement, to issue to Hochschild 400,000 shares of the Company’s authorized but unissued Common Stock (the “</w:t>
      </w:r>
      <w:r w:rsidDel="00000000" w:rsidR="00000000" w:rsidRPr="00000000">
        <w:rPr>
          <w:rFonts w:ascii="times new roman" w:cs="times new roman" w:eastAsia="times new roman" w:hAnsi="times new roman"/>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and to deliver warrants to purchase 300,000 shares of Common Stock at an exercise price of US$15.00 (the “</w:t>
      </w:r>
      <w:r w:rsidDel="00000000" w:rsidR="00000000" w:rsidRPr="00000000">
        <w:rPr>
          <w:rFonts w:ascii="times new roman" w:cs="times new roman" w:eastAsia="times new roman" w:hAnsi="times new roman"/>
          <w:i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induce Hochschild to execute and deliver the Purchase Agreement, the Company has agreed to provide certain registration rights under the Securities Act of 1933, as amended, and the rules and regulations thereunder,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recitals and the mutual promises, representations, warranties, and covenants set forth in this Agreement and for other good and valuable consideration, the receipt and sufficiency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1.         </w:t>
      </w: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terms that are defined elsewhere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with respect to any specified person, has the meaning specified in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Company’s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Deferral Notice</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Deferral Period</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Delay Period</w:t>
      </w:r>
      <w:r w:rsidDel="00000000" w:rsidR="00000000" w:rsidRPr="00000000">
        <w:rPr>
          <w:rFonts w:ascii="times new roman" w:cs="times new roman" w:eastAsia="times new roman" w:hAnsi="times new roman"/>
          <w:sz w:val="20"/>
          <w:szCs w:val="20"/>
          <w:rtl w:val="0"/>
        </w:rPr>
        <w:t xml:space="preserve">” has the meaning set forth in Section 2(g).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Delayed Filing Date</w:t>
      </w:r>
      <w:r w:rsidDel="00000000" w:rsidR="00000000" w:rsidRPr="00000000">
        <w:rPr>
          <w:rFonts w:ascii="times new roman" w:cs="times new roman" w:eastAsia="times new roman" w:hAnsi="times new roman"/>
          <w:sz w:val="20"/>
          <w:szCs w:val="20"/>
          <w:rtl w:val="0"/>
        </w:rPr>
        <w:t xml:space="preserve">” has the meaning set forth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Demand Notice</w:t>
      </w:r>
      <w:r w:rsidDel="00000000" w:rsidR="00000000" w:rsidRPr="00000000">
        <w:rPr>
          <w:rFonts w:ascii="times new roman" w:cs="times new roman" w:eastAsia="times new roman" w:hAnsi="times new roman"/>
          <w:sz w:val="20"/>
          <w:szCs w:val="20"/>
          <w:rtl w:val="0"/>
        </w:rPr>
        <w:t xml:space="preserve">” has the meaning set forth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Demand Registration</w:t>
      </w:r>
      <w:r w:rsidDel="00000000" w:rsidR="00000000" w:rsidRPr="00000000">
        <w:rPr>
          <w:rFonts w:ascii="times new roman" w:cs="times new roman" w:eastAsia="times new roman" w:hAnsi="times new roman"/>
          <w:sz w:val="20"/>
          <w:szCs w:val="20"/>
          <w:rtl w:val="0"/>
        </w:rPr>
        <w:t xml:space="preserve">” has the meaning set forth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Effectiveness Period</w:t>
      </w:r>
      <w:r w:rsidDel="00000000" w:rsidR="00000000" w:rsidRPr="00000000">
        <w:rPr>
          <w:rFonts w:ascii="times new roman" w:cs="times new roman" w:eastAsia="times new roman" w:hAnsi="times new roman"/>
          <w:sz w:val="20"/>
          <w:szCs w:val="20"/>
          <w:rtl w:val="0"/>
        </w:rPr>
        <w:t xml:space="preserve">” means the period commencing on the on the date the Registration Statement becomes effective and ending on the date on which the Company terminates the Registration Statement following the period of effectiveness required pursuant to Section 2(d), or until all Registrable Securities have ceased to be Registrable Securities, whichever is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United States Securities Exchange Act of 1934, as amended, and the rules and regulations of the SEC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Filing Date</w:t>
      </w:r>
      <w:r w:rsidDel="00000000" w:rsidR="00000000" w:rsidRPr="00000000">
        <w:rPr>
          <w:rFonts w:ascii="times new roman" w:cs="times new roman" w:eastAsia="times new roman" w:hAnsi="times new roman"/>
          <w:sz w:val="20"/>
          <w:szCs w:val="20"/>
          <w:rtl w:val="0"/>
        </w:rPr>
        <w:t xml:space="preserve">” has the meaning set forth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of “Holders” means Hochschild, any transferee or assignee thereof to whom Hochschild assigns its rights under this Agreement and who agrees to become bound by the provisions of this Agreement in accordance with Section 8(a), and any transferee or assignee thereof to whom a transferee or assignee assigns its rights under this Agreement and who agrees to become bound by the provisions of this Agreement in accordance with Section 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Material Event</w:t>
      </w:r>
      <w:r w:rsidDel="00000000" w:rsidR="00000000" w:rsidRPr="00000000">
        <w:rPr>
          <w:rFonts w:ascii="times new roman" w:cs="times new roman" w:eastAsia="times new roman" w:hAnsi="times new roman"/>
          <w:sz w:val="20"/>
          <w:szCs w:val="20"/>
          <w:rtl w:val="0"/>
        </w:rPr>
        <w:t xml:space="preserve">” has the meaning specified in Section 3(d)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Notice and Questionnaire</w:t>
      </w:r>
      <w:r w:rsidDel="00000000" w:rsidR="00000000" w:rsidRPr="00000000">
        <w:rPr>
          <w:rFonts w:ascii="times new roman" w:cs="times new roman" w:eastAsia="times new roman" w:hAnsi="times new roman"/>
          <w:sz w:val="20"/>
          <w:szCs w:val="20"/>
          <w:rtl w:val="0"/>
        </w:rPr>
        <w:t xml:space="preserve">” means a written notice delivered to the Company containing substantially the information called for by the Selling Securityholder Notice and Questionnaire attached as Annex A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Notice Holder</w:t>
      </w:r>
      <w:r w:rsidDel="00000000" w:rsidR="00000000" w:rsidRPr="00000000">
        <w:rPr>
          <w:rFonts w:ascii="times new roman" w:cs="times new roman" w:eastAsia="times new roman" w:hAnsi="times new roman"/>
          <w:sz w:val="20"/>
          <w:szCs w:val="20"/>
          <w:rtl w:val="0"/>
        </w:rPr>
        <w:t xml:space="preserve">” means on any date, any Holder that has delivered a Notice and Questionnaire to the Company on or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Outstanding Registrable Securities</w:t>
      </w:r>
      <w:r w:rsidDel="00000000" w:rsidR="00000000" w:rsidRPr="00000000">
        <w:rPr>
          <w:rFonts w:ascii="times new roman" w:cs="times new roman" w:eastAsia="times new roman" w:hAnsi="times new roman"/>
          <w:sz w:val="20"/>
          <w:szCs w:val="20"/>
          <w:rtl w:val="0"/>
        </w:rPr>
        <w:t xml:space="preserve">” means the securities of the Company that qualify as Registrable Securities at the time of delivery of a Demand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Prospectus</w:t>
      </w:r>
      <w:r w:rsidDel="00000000" w:rsidR="00000000" w:rsidRPr="00000000">
        <w:rPr>
          <w:rFonts w:ascii="times new roman" w:cs="times new roman" w:eastAsia="times new roman" w:hAnsi="times new roman"/>
          <w:sz w:val="20"/>
          <w:szCs w:val="20"/>
          <w:rtl w:val="0"/>
        </w:rPr>
        <w:t xml:space="preserve">” means the prospectus included in any Registration Statement (including, without limitation, a prospectus that discloses information previously omitted from a prospectus filed as part of an effective registration statement in reliance upon Rule 415 promulgated under the Securities Act), as amended or supplemented by any amendment or prospectus supplement, including post-effective amendments, and all materials incorporated by reference or explicitly deemed to be incorporated by reference in such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the (i) Shares issued to Hochschild under the Purchase Agreement, (ii) the Warrant Shares, and (iii) any security issued with respect thereto upon any stock dividend, split, merger or similar event until, in the case of any such security, the earlier of (1) the sale pursuant to Rule 144 under the Securities Act or a registration statement of such Registrable Securities, or (2) the first date on which the Registrable Securities may be sold pursuant to Rule 144 without being subject to the volume restrictions set forth in Rule 144(e).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any registration statement of the Company that covers any of the Registrable Securities pursuant to the provisions of this Agreement, including the Prospectus, amendments and supplements to such registration statement, including post-effective amendments, all exhibits, and all materials incorporated by reference or explicitly deemed to be incorporated by reference in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“Requesting Holder</w:t>
      </w:r>
      <w:r w:rsidDel="00000000" w:rsidR="00000000" w:rsidRPr="00000000">
        <w:rPr>
          <w:rFonts w:ascii="times new roman" w:cs="times new roman" w:eastAsia="times new roman" w:hAnsi="times new roman"/>
          <w:sz w:val="20"/>
          <w:szCs w:val="20"/>
          <w:rtl w:val="0"/>
        </w:rPr>
        <w:t xml:space="preserve">” has the meaning set forth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means Rule 144 under the Securities Act, as such Rule may be amended from time to time, or any similar or successor rule or regulation hereafter adopted by the SEC having substantially the same effect as such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 and any successor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United States Securities Act of 1933, as amended, and the rules and regulations promulgated by the SEC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2.       </w:t>
      </w:r>
      <w:r w:rsidDel="00000000" w:rsidR="00000000" w:rsidRPr="00000000">
        <w:rPr>
          <w:rFonts w:ascii="times new roman" w:cs="times new roman" w:eastAsia="times new roman" w:hAnsi="times new roman"/>
          <w:b w:val="1"/>
          <w:sz w:val="20"/>
          <w:szCs w:val="20"/>
          <w:u w:val="single"/>
          <w:rtl w:val="0"/>
        </w:rPr>
        <w:t xml:space="preserve">Demand Registration Right.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Right to Demand</w:t>
      </w:r>
      <w:r w:rsidDel="00000000" w:rsidR="00000000" w:rsidRPr="00000000">
        <w:rPr>
          <w:rFonts w:ascii="times new roman" w:cs="times new roman" w:eastAsia="times new roman" w:hAnsi="times new roman"/>
          <w:sz w:val="20"/>
          <w:szCs w:val="20"/>
          <w:rtl w:val="0"/>
        </w:rPr>
        <w:t xml:space="preserve">.  Upon the terms and subject to the conditions of this Agreement, Holders (the “</w:t>
      </w:r>
      <w:r w:rsidDel="00000000" w:rsidR="00000000" w:rsidRPr="00000000">
        <w:rPr>
          <w:rFonts w:ascii="times new roman" w:cs="times new roman" w:eastAsia="times new roman" w:hAnsi="times new roman"/>
          <w:i w:val="1"/>
          <w:sz w:val="20"/>
          <w:szCs w:val="20"/>
          <w:rtl w:val="0"/>
        </w:rPr>
        <w:t xml:space="preserve">Requesting Holders</w:t>
      </w:r>
      <w:r w:rsidDel="00000000" w:rsidR="00000000" w:rsidRPr="00000000">
        <w:rPr>
          <w:rFonts w:ascii="times new roman" w:cs="times new roman" w:eastAsia="times new roman" w:hAnsi="times new roman"/>
          <w:sz w:val="20"/>
          <w:szCs w:val="20"/>
          <w:rtl w:val="0"/>
        </w:rPr>
        <w:t xml:space="preserve">”) shall have the right, by written notice delivered to the Company (the “</w:t>
      </w:r>
      <w:r w:rsidDel="00000000" w:rsidR="00000000" w:rsidRPr="00000000">
        <w:rPr>
          <w:rFonts w:ascii="times new roman" w:cs="times new roman" w:eastAsia="times new roman" w:hAnsi="times new roman"/>
          <w:i w:val="1"/>
          <w:sz w:val="20"/>
          <w:szCs w:val="20"/>
          <w:rtl w:val="0"/>
        </w:rPr>
        <w:t xml:space="preserve">Demand Notice</w:t>
      </w:r>
      <w:r w:rsidDel="00000000" w:rsidR="00000000" w:rsidRPr="00000000">
        <w:rPr>
          <w:rFonts w:ascii="times new roman" w:cs="times new roman" w:eastAsia="times new roman" w:hAnsi="times new roman"/>
          <w:sz w:val="20"/>
          <w:szCs w:val="20"/>
          <w:rtl w:val="0"/>
        </w:rPr>
        <w:t xml:space="preserve">”), to request that the Company register for resale under and in accordance with the provisions of the Securities Act the number of Registrable Securities designated by such Holders (a “</w:t>
      </w:r>
      <w:r w:rsidDel="00000000" w:rsidR="00000000" w:rsidRPr="00000000">
        <w:rPr>
          <w:rFonts w:ascii="times new roman" w:cs="times new roman" w:eastAsia="times new roman" w:hAnsi="times new roman"/>
          <w:i w:val="1"/>
          <w:sz w:val="20"/>
          <w:szCs w:val="20"/>
          <w:rtl w:val="0"/>
        </w:rPr>
        <w:t xml:space="preserve">Demand Registration</w:t>
      </w:r>
      <w:r w:rsidDel="00000000" w:rsidR="00000000" w:rsidRPr="00000000">
        <w:rPr>
          <w:rFonts w:ascii="times new roman" w:cs="times new roman" w:eastAsia="times new roman" w:hAnsi="times new roman"/>
          <w:sz w:val="20"/>
          <w:szCs w:val="20"/>
          <w:rtl w:val="0"/>
        </w:rPr>
        <w:t xml:space="preserve">”).  Promptly following its receipt of a Demand Notice, the Company will notify other Holders, if any, of the proposed registration and allow them the opportunity to include Registrable Securities in such registration.  Holders that elect to participate in such registration shall provide written notice of such election to the Company within ten business days of their receipt of notice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Limits on Demand 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6664.679999999999" w:type="dxa"/>
        <w:jc w:val="left"/>
        <w:tblInd w:w="1440.0" w:type="dxa"/>
        <w:tblLayout w:type="fixed"/>
        <w:tblLook w:val="0600"/>
      </w:tblPr>
      <w:tblGrid>
        <w:gridCol w:w="471.24"/>
        <w:gridCol w:w="6193.44"/>
        <w:tblGridChange w:id="0">
          <w:tblGrid>
            <w:gridCol w:w="471.24"/>
            <w:gridCol w:w="6193.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required to register any Registrable Securities pursuant to this Section 2 unless the anticipated aggregate offering price to the public in the relevant offering is expected to be at least $2 million.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obligated to effect more than one Demand Registration and shall not be obligated to file a Registration Statement with respect to a Demand Registration prior to May 31,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6731.999999999999" w:type="dxa"/>
        <w:jc w:val="left"/>
        <w:tblInd w:w="1440.0" w:type="dxa"/>
        <w:tblLayout w:type="fixed"/>
        <w:tblLook w:val="0600"/>
      </w:tblPr>
      <w:tblGrid>
        <w:gridCol w:w="385.0465579171338"/>
        <w:gridCol w:w="385.0465579171338"/>
        <w:gridCol w:w="5961.906884165732"/>
        <w:tblGridChange w:id="0">
          <w:tblGrid>
            <w:gridCol w:w="385.0465579171338"/>
            <w:gridCol w:w="385.0465579171338"/>
            <w:gridCol w:w="5961.90688416573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obligated to file a Registration Statement with respect to a Demand Registration within 90 days of the completion of any underwritten offering of the Company’s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obligated to file a Registration Statement with respect to any Demand Notice submitted after the date that is three years after the date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obligated to file a Registration Statement with respect to the distribution of the Registrable Securities in an underwritten offering.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Filing of Registration Statement</w:t>
      </w:r>
      <w:r w:rsidDel="00000000" w:rsidR="00000000" w:rsidRPr="00000000">
        <w:rPr>
          <w:rFonts w:ascii="times new roman" w:cs="times new roman" w:eastAsia="times new roman" w:hAnsi="times new roman"/>
          <w:sz w:val="20"/>
          <w:szCs w:val="20"/>
          <w:rtl w:val="0"/>
        </w:rPr>
        <w:t xml:space="preserve">.  Subject to Sections 2(b) and 2(g), as soon as practicable, but in any event within 60 days of the date on which the Company receives a Demand Notice (the “</w:t>
      </w:r>
      <w:r w:rsidDel="00000000" w:rsidR="00000000" w:rsidRPr="00000000">
        <w:rPr>
          <w:rFonts w:ascii="times new roman" w:cs="times new roman" w:eastAsia="times new roman" w:hAnsi="times new roman"/>
          <w:i w:val="1"/>
          <w:sz w:val="20"/>
          <w:szCs w:val="20"/>
          <w:rtl w:val="0"/>
        </w:rPr>
        <w:t xml:space="preserve">Filing Date</w:t>
      </w:r>
      <w:r w:rsidDel="00000000" w:rsidR="00000000" w:rsidRPr="00000000">
        <w:rPr>
          <w:rFonts w:ascii="times new roman" w:cs="times new roman" w:eastAsia="times new roman" w:hAnsi="times new roman"/>
          <w:sz w:val="20"/>
          <w:szCs w:val="20"/>
          <w:rtl w:val="0"/>
        </w:rPr>
        <w:t xml:space="preserve">”) (unless a Delay Period is in effect, in which case within 60 days of the termination of the Delay Period, the “</w:t>
      </w:r>
      <w:r w:rsidDel="00000000" w:rsidR="00000000" w:rsidRPr="00000000">
        <w:rPr>
          <w:rFonts w:ascii="times new roman" w:cs="times new roman" w:eastAsia="times new roman" w:hAnsi="times new roman"/>
          <w:i w:val="1"/>
          <w:sz w:val="20"/>
          <w:szCs w:val="20"/>
          <w:rtl w:val="0"/>
        </w:rPr>
        <w:t xml:space="preserve">Delayed Filing Date</w:t>
      </w:r>
      <w:r w:rsidDel="00000000" w:rsidR="00000000" w:rsidRPr="00000000">
        <w:rPr>
          <w:rFonts w:ascii="times new roman" w:cs="times new roman" w:eastAsia="times new roman" w:hAnsi="times new roman"/>
          <w:sz w:val="20"/>
          <w:szCs w:val="20"/>
          <w:rtl w:val="0"/>
        </w:rPr>
        <w:t xml:space="preserve">”), the Company shall file with the SEC a Registration Statement on the appropriate form for the registration and sale of the Registrable Securities specified in such Demand Notice, together with the number of Registrable Securities requested to be included in the Demand Registration by other Holders,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Effectiveness of Registration Statement</w:t>
      </w:r>
      <w:r w:rsidDel="00000000" w:rsidR="00000000" w:rsidRPr="00000000">
        <w:rPr>
          <w:rFonts w:ascii="times new roman" w:cs="times new roman" w:eastAsia="times new roman" w:hAnsi="times new roman"/>
          <w:sz w:val="20"/>
          <w:szCs w:val="20"/>
          <w:rtl w:val="0"/>
        </w:rPr>
        <w:t xml:space="preserve">.  The Company shall use its commercially reasonable efforts to (i) cause a Registration Statement filed pursuant to Section 2(c) to be declared effective by the SEC as soon as reasonably practicable, and (ii) subject to Section 8(l), keep such Registration Statement continuously effective and usable for the sale of Registrable Securities for a period of up to two hundred seventy (270) days or, if earlier, until the distribution contemplated in the Registration Statement has been completed.  If the Company has an effective Registration Statement on Form S-1 filed pursuant to Section 2(c) and becomes eligible to use Form S-3 or such other short-form registration statement form under the Securities Act, the Company shall promptly give notice of such eligibility to the Holders covered thereby and may, or at the request of such Holders with a majority of such Registrable Securities shall, promptly convert such Registration Statement on Form S-1 to a Registration Statement on Form S-3 or such other short-form registration statement by means of a post-effective amendment or otherwise, unless any Holder notifies the Company within 10 business days of receipt of the Company’s notice that such conversion would interfere with its distribution of Registrable Securities already in progress and provides a reasonable explanation therefor, in which case the Company will delay the conversion of the Registration Statement for a reasonable time after receipt of the first such notice, not to exceed 30 days in the aggregate (unless the Company, at such time as the conversion from Form S-1 to Form S-3 or such other short-form registration statement may occur, would otherwise be required to amend the Registration Statement on Form S-1 and require that Holders suspend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Holders’ Withdrawal</w:t>
      </w:r>
      <w:r w:rsidDel="00000000" w:rsidR="00000000" w:rsidRPr="00000000">
        <w:rPr>
          <w:rFonts w:ascii="times new roman" w:cs="times new roman" w:eastAsia="times new roman" w:hAnsi="times new roman"/>
          <w:sz w:val="20"/>
          <w:szCs w:val="20"/>
          <w:rtl w:val="0"/>
        </w:rPr>
        <w:t xml:space="preserve">.  Holders of a majority of the Registrable Securities to be included in a Demand Registration may, at any time prior to the effective date of the Registration Statement relating thereto, revoke such request by providing a written notice to the Company of such revocation.  If such revocation request is received more than fifteen (15) business days after delivery of the Demand Notice, Holders’ right to request a further Demand Registration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Preemption of Demand Registration</w:t>
      </w:r>
      <w:r w:rsidDel="00000000" w:rsidR="00000000" w:rsidRPr="00000000">
        <w:rPr>
          <w:rFonts w:ascii="times new roman" w:cs="times new roman" w:eastAsia="times new roman" w:hAnsi="times new roman"/>
          <w:sz w:val="20"/>
          <w:szCs w:val="20"/>
          <w:rtl w:val="0"/>
        </w:rPr>
        <w:t xml:space="preserve">.  Notwithstanding anything to the contrary contained herein, after receiving a Demand Notice, the Company may elect to effect an underwritten primary registration in lieu of the Demand Registration if the Company’s Board of Directors believes that such primary registration would be in the best interests of the Company.  In the event the Company elects to effect a primary registration after receiving a Demand Notice, the Company shall use its commercially reasonable efforts to have the registration statement relating to the primary registration declared effective by the Commission as soon as reasonably practicable. In addition, the request for a Demand Registration shall be deemed to have been withdrawn and such primary registration shall not be deemed to be a Demand Registration for the purposes of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Delay Period</w:t>
      </w:r>
      <w:r w:rsidDel="00000000" w:rsidR="00000000" w:rsidRPr="00000000">
        <w:rPr>
          <w:rFonts w:ascii="times new roman" w:cs="times new roman" w:eastAsia="times new roman" w:hAnsi="times new roman"/>
          <w:sz w:val="20"/>
          <w:szCs w:val="20"/>
          <w:rtl w:val="0"/>
        </w:rPr>
        <w:t xml:space="preserve">.  Notwithstanding anything to the contrary set forth herein, the Company shall have the right to delay the filing of any Registration Statement otherwise required to be filed pursuant to Section 2, or to suspend the use of any Registration Statement, for a period not in excess of 60 consecutive days and no more than 90 days in any consecutive 12-month period (a “</w:t>
      </w:r>
      <w:r w:rsidDel="00000000" w:rsidR="00000000" w:rsidRPr="00000000">
        <w:rPr>
          <w:rFonts w:ascii="times new roman" w:cs="times new roman" w:eastAsia="times new roman" w:hAnsi="times new roman"/>
          <w:i w:val="1"/>
          <w:sz w:val="20"/>
          <w:szCs w:val="20"/>
          <w:rtl w:val="0"/>
        </w:rPr>
        <w:t xml:space="preserve">Delay Period</w:t>
      </w:r>
      <w:r w:rsidDel="00000000" w:rsidR="00000000" w:rsidRPr="00000000">
        <w:rPr>
          <w:rFonts w:ascii="times new roman" w:cs="times new roman" w:eastAsia="times new roman" w:hAnsi="times new roman"/>
          <w:sz w:val="20"/>
          <w:szCs w:val="20"/>
          <w:rtl w:val="0"/>
        </w:rPr>
        <w:t xml:space="preserve">”), if (i) the Company is pursuing an acquisition, merger, reorganization, disposition or other similar transaction and the Company determines in good faith that the Company’s ability to pursue or consummate such a transaction would be materially adversely affected by any required disclosure of such transaction in any Registration Statement, (ii) the Company has experienced some other material non-public event the disclosure of which at such time, in the good faith judgment of the Company, would materially adversely affect the Company, or (iii) the Company determines in good faith that the filing or the inability to suspend the use of the Registration Statement would otherwise be detrimental to the Company or its stockholders, or would substantially interfere with the Company’s ability to timely file a Form 10-Q or 10-K.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3.       </w:t>
      </w:r>
      <w:r w:rsidDel="00000000" w:rsidR="00000000" w:rsidRPr="00000000">
        <w:rPr>
          <w:rFonts w:ascii="times new roman" w:cs="times new roman" w:eastAsia="times new roman" w:hAnsi="times new roman"/>
          <w:b w:val="1"/>
          <w:sz w:val="20"/>
          <w:szCs w:val="20"/>
          <w:u w:val="single"/>
          <w:rtl w:val="0"/>
        </w:rPr>
        <w:t xml:space="preserve">Registration Procedures.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registration obligations of the Company under Section 2 hereof,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Prepare and file with the SEC such amendments and post-effective amendments to the Registration Statement as may be necessary to keep such Registration Statement continuously effective for the applicable period specified in Section 2(d); cause the related Prospectus to be supplemented by any required Prospectus supplement, and as so supplemented to be filed pursuant to Rule 424 (or any similar provisions then in force) under the Securities Act; and use commercially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reasonable efforts to comply with the provisions of the Securities Act applicable to it with respect to the disposition of all securities covered by such Registration Statement during the Effectiveness Period in accordance with the intended methods of disposition by the sellers thereof set forth in such Registration Statement as so amended or such Prospectus as so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Submit to the SEC, within two (2) Business Days after the Company learns that no review of the Registration Statement will be made by the staff of the SEC or that the staff has no further comments on a particular Registration Statement, as the case may be, a request for acceleration of effectiveness of such Registration Statement to a time and date not later than 48 hours after the submission of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Use commercially reasonable efforts to obtain the withdrawal of any order suspending the effectiveness of a Registration Statement or the lifting of any suspension of the qualification (or exemption from qualification) of any of the Registrable Securities for sale in any jurisdiction in which they have been qualified for sale, in either case at the earliest possible moment or, if any such order or suspension is made effective during any Deferral Period, at the earliest possible moment after the expiration of such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(A) the issuance by the SEC of a stop order suspending the effectiveness of the Registration Statement or the initiation of proceedings with respect to the Registration Statement under Section 8(d) or 8(e) of the Securities Act, (B) the occurrence of any event or the existence of any fact (a “</w:t>
      </w:r>
      <w:r w:rsidDel="00000000" w:rsidR="00000000" w:rsidRPr="00000000">
        <w:rPr>
          <w:rFonts w:ascii="times new roman" w:cs="times new roman" w:eastAsia="times new roman" w:hAnsi="times new roman"/>
          <w:i w:val="1"/>
          <w:sz w:val="20"/>
          <w:szCs w:val="20"/>
          <w:rtl w:val="0"/>
        </w:rPr>
        <w:t xml:space="preserve">Material Event</w:t>
      </w:r>
      <w:r w:rsidDel="00000000" w:rsidR="00000000" w:rsidRPr="00000000">
        <w:rPr>
          <w:rFonts w:ascii="times new roman" w:cs="times new roman" w:eastAsia="times new roman" w:hAnsi="times new roman"/>
          <w:sz w:val="20"/>
          <w:szCs w:val="20"/>
          <w:rtl w:val="0"/>
        </w:rPr>
        <w:t xml:space="preserve">”) as a result of which any Registration Statement shall contain any untrue statement of a material fact or omit to state any material fact required to be stated therein or necessary to make the statements therein not misleading, or any Prospectus shall contain any untrue statement of a material fact or omit to state any material fact necessary to make the statements therein, in light of the circumstances under which they were made, not misleading (including, in any such case, as a result of the non-availability of financial statements), or (C) the occurrence or existence of any development, event, fact, situation or circumstance relating to the Company that, in the discretion of the Company, makes it appropriate to suspend the availability of the Registration Statement and the related Prospectus, (i) in the case of clause (B) above, subject to the next sentence, as promptly as is reasonably practicable prepare and file a post-effective amendment to such Registration Statement or a supplement to the related Prospectus or any document incorporated therein by reference or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such Prospectus does not contain any untrue statement of a material fact or omit to state any material fact necessary to make the statements therein, in the light of the circumstances under which they were made, not misleading, as thereafter delivered to the purchasers of the Registrable Securities being sold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and, in the case of a post-effective amendment to a Registration Statement, subject to the next sentence, use commercially reasonable efforts to cause it to be declared effective as promptly as is reasonably practicable, and (ii) give notice (via facsimile, telephone or electronic mail followed by a written notice by internationally recognized overnight courier) to the Notice Holders that the availability of the Registration Statement is suspended (a “</w:t>
      </w:r>
      <w:r w:rsidDel="00000000" w:rsidR="00000000" w:rsidRPr="00000000">
        <w:rPr>
          <w:rFonts w:ascii="times new roman" w:cs="times new roman" w:eastAsia="times new roman" w:hAnsi="times new roman"/>
          <w:i w:val="1"/>
          <w:sz w:val="20"/>
          <w:szCs w:val="20"/>
          <w:rtl w:val="0"/>
        </w:rPr>
        <w:t xml:space="preserve">Deferral Notice</w:t>
      </w:r>
      <w:r w:rsidDel="00000000" w:rsidR="00000000" w:rsidRPr="00000000">
        <w:rPr>
          <w:rFonts w:ascii="times new roman" w:cs="times new roman" w:eastAsia="times new roman" w:hAnsi="times new roman"/>
          <w:sz w:val="20"/>
          <w:szCs w:val="20"/>
          <w:rtl w:val="0"/>
        </w:rPr>
        <w:t xml:space="preserve">”) and, upon receipt of any Deferral Notice, each Notice Holder agrees not to sell any Registrable Securities pursuant to the Registration Statement until such Notice Holder’s receipt of copies of the supplemented or amended Prospectus provided for in clause (i) above, or until it is advised in writing by the Company that the Prospectus may be used, and has received copies of any additional or supplemental filings that are incorporated or deemed incorporated by reference in such Prospectus. The Company will use commercially reasonable efforts to ensure that the use of the Prospectus may be resumed (x) in the case of clause (A) above, as promptly as is reasonably practicable, (y) in the case of clause (B) above, as soon as, in the sole reasonable judgment of the Company, public disclosure of such Material Event would not be prejudicial to or contrary to the interests of the Company or, if necessary to avoid unreasonable burden or expense, as soon as reasonably practicable thereafter and (z) in the case of clause (C) above, as soon as, in the reasonable discretion of the Company, such suspension is no longer appropriate. The period during which the availability of the Registration Statement and any Prospectus is suspended (the “</w:t>
      </w:r>
      <w:r w:rsidDel="00000000" w:rsidR="00000000" w:rsidRPr="00000000">
        <w:rPr>
          <w:rFonts w:ascii="times new roman" w:cs="times new roman" w:eastAsia="times new roman" w:hAnsi="times new roman"/>
          <w:i w:val="1"/>
          <w:sz w:val="20"/>
          <w:szCs w:val="20"/>
          <w:rtl w:val="0"/>
        </w:rPr>
        <w:t xml:space="preserve">Deferral Period</w:t>
      </w:r>
      <w:r w:rsidDel="00000000" w:rsidR="00000000" w:rsidRPr="00000000">
        <w:rPr>
          <w:rFonts w:ascii="times new roman" w:cs="times new roman" w:eastAsia="times new roman" w:hAnsi="times new roman"/>
          <w:sz w:val="20"/>
          <w:szCs w:val="20"/>
          <w:rtl w:val="0"/>
        </w:rPr>
        <w:t xml:space="preserve">”) is not to exceed (i) 60 consecutive days at any one time; (ii) 30 days in the aggregate in any three-month period; or (iii) 60 days in the aggregate during any 12-month period, or as otherwise required by applicable regulatory authority; provided that, the number of days the Company is required to keep the Registration Statement effective shall be extended by the number of days equal to the aggregate Deferral Period(s). The first day of any Deferral Period must be at least two (2) trading days after the last day of any prior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During the Effectiveness Period (except during such periods that a Deferral Notice is outstanding and has not been revoked), deliver to each Notice Holder in connection with any sale of Registrable Securities pursuant to a Registration Statement, without charge, as many copies of the Prospectus or Prospectuses relating to such Registrable Securities and any amendment or supplement thereto as such Notice Holder may reasonably request; and the Company hereby consents (except during such periods that a Deferral Notice is outstanding and has not been revoked) to the use of such Prospectus or each amendment or supplement thereto by each Notice Holder in connection with any offering and sale of the Registrable Securities covered by such Prospectus or any amendment or supplement thereto in the manner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Subject to Section 3(d), prior to any public offering of the Registrable Securities pursuant to the Registration Statement, use commercially reasonable efforts to register or qualify or cooperate with the Notice Holders in connection with the registration or qualification (or exemption from such registration or qualification) of such Registrable Securities for offer and sale under the securities or Blue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laws of such jurisdictions within the United States as any Notice Holder reasonably requests in writing (which request may be included in the Notice and Questionnaire), it being agreed that no such registration or qualification will be made unless so requested; prior to any public offering of the Registrable Securities pursuant to the Registration Statement, use commercially reasonable efforts to keep each such registration or qualification (or exemption therefrom) effective during the Effectiveness Period in connection with such Notice Holder’s offer and sale of Registrable Securities pursuant to such registration or qualification (or exemption therefrom) and do any and all other acts or things necessary to enable the disposition in such jurisdictions of such Registrable Securities in the manner set forth in the relevant Registration Statement and the related Prospectus; provided, that the Company will not be required to (i) qualify as a foreign corporation or as a dealer in securities in any jurisdiction where it is not otherwise qualified or (ii) take any action that would subject it to general service of process in suits or to taxation in any such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4.       </w:t>
      </w:r>
      <w:r w:rsidDel="00000000" w:rsidR="00000000" w:rsidRPr="00000000">
        <w:rPr>
          <w:rFonts w:ascii="times new roman" w:cs="times new roman" w:eastAsia="times new roman" w:hAnsi="times new roman"/>
          <w:b w:val="1"/>
          <w:sz w:val="20"/>
          <w:szCs w:val="20"/>
          <w:u w:val="single"/>
          <w:rtl w:val="0"/>
        </w:rPr>
        <w:t xml:space="preserve">Holder’s Obligations.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of Registrable Securities agrees that if such Holder wishes to sell Registrable Securities pursuant to a Registration Statement and related Prospectus, it will do so only in accordance with Section 3(d) and this Section 4. Each Holder of Registrable Securities wishing to sell Registrable Securities pursuant to any Registration Statement and related Prospectus agrees to deliver a Notice and Questionnaire to the Company promptly upon becoming a Holder and notify the Company of any change in such information at least five (5) business days prior to the filing of the Registration Statement. From and after the date the Registration Statement is declared effective, the Company shall, as promptly as is reasonably practicable after the date a fully completed and legible Notice and Questionnaire is received by the Company, (i) if required by applicable law, file with the SEC a post-effective amendment to the Registration Statement or prepare and, if required by applicable law, file a supplement to the related Prospectus or a supplement or amendment to any document incorporated therein by reference or file any other document required by the SEC so that the Holder delivering such Notice and Questionnaire is named as a selling security holder in the Registration Statement and the related Prospectus in such a manner as to permit such Holder to deliver such Prospectus to purchasers of the Registrable Securities in accordance with applicable law (other than laws not generally applicable to all Holders of Registrable Securities wishing to sell Registrable Securities pursuant to the Registration Statement and related Prospectus) and using the manner of sale specified in the Notice and Questionnaire, and, if the Company shall file a post-effective amendment to the Registration Statement, use commercially reasonable efforts to cause such post-effective amendment to be declared effective under the Securities Act as promptly as is reasonably practicable; (ii) provide such Holder copies of any documents filed pursuant to this Section; and (iii) notify such Holder as promptly as is reasonably practicable after the effectiveness under the Securities Act of any post-effective amendment filed pursuant to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agrees, by acquisition of the Registrable Securities, that no Holder of Registrable Securities shall be entitled to sell any of such Registrable Securities pursuant to a Registration Statement or to receive a Prospectus relating thereto, unless such Holder has furnished the Company with a properly completed Notice and Questionnaire as required pursuant to this Section 4 (including the information required to be included in such Notice and Questionnaire) and the information set forth in the next sentence.  Each Notice Holder agrees promptly to furnish to the Company in writing all information required to be disclosed in order to make the information previously furnished to the Company by such Notice Holder not misleading, any other information regarding such Notice Holder and the distribution of such Registrable Securities as may be required to be disclosed in the Registration Statement under applicable law or pursuant to SEC comments and any information otherwise required by the Company to comply with applicable law or regulations. Each Holder further agrees, following termination of the Effectiveness Period, to notify the Company, within ten (10) Business Days of a request, of the amount of Registrable Securities sold pursuant to the Registration Statement and, in the absence of a response, the Company may assume that all of the Holder’s Registrable Securities were so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5.       </w:t>
      </w:r>
      <w:r w:rsidDel="00000000" w:rsidR="00000000" w:rsidRPr="00000000">
        <w:rPr>
          <w:rFonts w:ascii="times new roman" w:cs="times new roman" w:eastAsia="times new roman" w:hAnsi="times new roman"/>
          <w:b w:val="1"/>
          <w:sz w:val="20"/>
          <w:szCs w:val="20"/>
          <w:u w:val="single"/>
          <w:rtl w:val="0"/>
        </w:rPr>
        <w:t xml:space="preserve">Registration Expenses.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bear all fees and expenses incurred in connection with the performance by the Company of its obligations under Sections 2, 3 and 4 of this Agreement whether or not any of the Registration Statements are declared effective. Such fees and expenses shall include, without limitation, (i) all registration and filing fees (including, without limitation, fees and expenses (x) with respect to filings required to be made with the Toronto Stock Exchange and any U.S. national securities exchange on which the Company’s Common Stock is then listed and (y) of compliance with U.S. federal and state securities or “Blue Sky” laws to the extent such filings or compliance are required pursuant to this Agreement (including, without limitation, reasonable fees and disbursements of the counsel specified in the next sentence in connection with Blue Sky qualifications of the Registrable Securities under the laws of such jurisdictions as the Notice Holders of a majority of the Registrable Securities being sold pursuant to a Registration Statement may designate)), (ii) printing expenses, (iii) duplication expenses relating to copies of any Registration Statement or Prospectus delivered to any Holders hereunder, and (iv) fees and disbursements of counsel for the Company in connection with the Registration Statement, provided, however, that the Company shall not be responsible for any brokers’ fees, commissions or discounts in connection with the sale of Registrable Securities or the fees and expenses of legal counsel for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6.       </w:t>
      </w:r>
      <w:r w:rsidDel="00000000" w:rsidR="00000000" w:rsidRPr="00000000">
        <w:rPr>
          <w:rFonts w:ascii="times new roman" w:cs="times new roman" w:eastAsia="times new roman" w:hAnsi="times new roman"/>
          <w:b w:val="1"/>
          <w:sz w:val="20"/>
          <w:szCs w:val="20"/>
          <w:u w:val="single"/>
          <w:rtl w:val="0"/>
        </w:rPr>
        <w:t xml:space="preserve">Information Requirements.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that, if at any time before the end of the Effectiveness Period the Company is not subject to the reporting requirements of the Exchange Act, it will cooperate with any Holder of Registrable Securities and take such further reasonable action as any Holder of Registrable Securities may request in writing (including, without limitation, making such reasonable representations as any such Holder may request), all to the extent required from time to time to enable such Holder to sell Registrable Securities without registration under and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the Securities Act and customarily taken in connection with sales pursuant to such exemptions. Upon the written request of any Holder of Registrable Securities, the Company shall deliver to such Holder a written statement as to whether it has complied with the filing requirements of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7.       </w:t>
      </w:r>
      <w:r w:rsidDel="00000000" w:rsidR="00000000" w:rsidRPr="00000000">
        <w:rPr>
          <w:rFonts w:ascii="times new roman" w:cs="times new roman" w:eastAsia="times new roman" w:hAnsi="times new roman"/>
          <w:b w:val="1"/>
          <w:sz w:val="20"/>
          <w:szCs w:val="20"/>
          <w:u w:val="single"/>
          <w:rtl w:val="0"/>
        </w:rPr>
        <w:t xml:space="preserve">Indemnification and Contribution.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agrees to indemnify and hold harmless each Holder of Registrable Securities covered by the Registration Statement, the directors, officers, employees, Affiliates and agents of each such Holder and each person who controls any such Holder within the meaning of either the Securities Act or the Exchange Act against any and all losses, claims, damages or liabilities, joint or several, to which they or any of them may become subject under the Securities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or in any amendment thereof, in each case at the time such became effective under the Securities Act, or in any preliminary Prospectus or the Prospectus, or in any amendment thereof or supplement thereto, or arise out of or are based upon the omission or alleged omission to state therein a material fact required to be stated therein or necessary to make the statements therein (in the case of any preliminary Prospectus or the Prospectus, in the light of the circumstances under which they were made) not misleading, and agrees to reimburse each such indemnified party, as incurred, for any legal or other expenses reasonably incurred by it in connection with investigating or defending any such loss, claim, damage, liability or 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the party claiming indemnification specifically for inclusion therein. This indemnity shall be in addition to any liability that the Company may otherwise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Holder of securities covered by the Registration Statement severally and not jointly agrees to indemnify and hold harmless the Company, each of its directors, each of its officers who signs the Registration Statement and each person who controls the Company within the meaning of either the Securities Act or the Exchange Act, to the same extent as the foregoing indemnity from the Company to each such Holder, but only with reference to information relating to such Holder furnished to the Company in writing by or on behalf of such Holder specifically for inclusion in the documents referred to in the foregoing indemnity. This indemnity agreement shall be acknowledged by each Notice Holder that is not Hochschild in such Notice Holder’s Notice and Questionnaire and shall be in addition to any liability that any such Notice Holder may otherwise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Promptly after receipt by an indemnified party under this Section 7 of notice of the commencement of any action, such indemnified party will, if a claim in respect thereof is to be made against the indemnifying party under this Section 7, notify the indemnifying party in writing of the commencement thereof; but the failure so to notify the indemnifying party (i) will not relieve it from liability under paragraph (a) or (b) above unless such failure results in the forfeiture by the indemnifying party of substantial rights and defenses or otherwise materially prejudices the indemnifying party; and (ii) will not, in any event, relieve the indemnifying party from any obligations to any indemnified party other than the indemnification obligation provided in paragraph (a) or (b) above. The indemnifying party shall be entitled to appoint counsel (including local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other than local counsel if not appointed by the indemnifying party, retained by the indemnified party or parties except as set forth below);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counsel shall be reasonably satisfactory to the indemnified party. Notwithstanding the indemnifying party’s election to appoint counsel (including one local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reasonably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such settlement, compromise or consent includes an unconditional release of each indemnified party from all liability arising out of such claim,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indemnification to which an indemnified party is entitled under this Section 7 is for any reason unavailable to or insufficient although applicable in accordance with its terms to hold harmless an indemnified party in respect of any losses, liabilities, claims, damages or expenses referred to therein, then each indemnifying party shall contribute to the aggregate amount of such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liabilities, claims, damages and expenses incurred by such indemnified party, as incurred, in such proportion as is appropriate to reflect the relative fault of the indemnifying party or parties on the one hand and of the indemnified party on the other hand in connection with the statements or omissions which resulted in such losses, liabilities, claims, damages or expenses, as well as any other relevant equitable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relative fault of the Company on the one hand and the Holders of the Registrable Securities on the other hand shall be determined by reference to, among other things, whether any such untrue or alleged untrue statement of a material fact or omission or alleged omission to state a material fact relates to information supplied in writing by the Company or in writing by the Holder of the Registrable Securities and the parties’ relative intent, knowledge, access to information and opportunity to correct or prevent such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agree that it would not be just and equitable if contribution pursuant to this Section 7(d) were determined by pro rata allocation or by any other method of allocation which does not take account of the equitable considerations referred to above in this Section 7(d). The aggregate amount of losses, liabilities, claims, damages, and expenses incurred by an indemnified party and referred to above in this Section 7(d) shall be deemed to include any out-of-pocket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this Section 7, no Holder of any Registrable Securities shall be required to indemnify or contribute any amount in excess of the amount by which the proceeds received from the sale of the Registrable Securities by such Holder of Registrable Securities exceeds the amount of any damages that such Holder of Registrable Securities has otherwise been required to pay by reason of such untrue or alleged untrue statement or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person guilty of fraudulent misrepresentation (within the meaning of Section 11(f) of the Securities Act) shall be entitled to contribution from any person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7(d), each person, if any, who controls Hochschild or any Holder of Registrable Securities within the meaning of Section 15 of the Securities Act or Section 20 of the Exchange Act shall have the same rights to contribution as Hochschild or such Holder, and each person, if any, who controls the Company within the meaning of Section 15 of the Securities Act or Section 20 of the Exchange Act shall have the same rights to contribution as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provisions of this Section 7 shall remain in full force and effect, regardless of any investigation made by or on behalf of any Holder or the Company or any of the indemnified persons referred to in this Section 7, and shall survive the sale by a Holder of Registrable Securities covered by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Neither this Agreement nor any of the rights, interests or obligations hereunder shall be assigned by any of the parties hereto without the prior written consent of the other parties,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Agreement may be assigned by the Holder in connection with the transfer of all, but not less than all, of the Registrable Securities to any Affiliate of the Holder.  Subject to the preceding sentence, this Agreement shall be binding upon, inure to the benefit of, and be enforceable by, the parties and their respective permitted successors and assigns.  If any permitted transferee of any Holder shall acquire Registrable Securities, such Registrable Securities shall be subject to all of the terms of this Agreement and by taking and holding such Registrable Securities such person shall be conclusively deemed to have agreed to be bound by and to perform all of the terms and provisions of this Agreement.  Nothing in this Agreement is intended to confer upon any party other than the parties hereto or their respective permitted successors and assigns any rights, remedies, obligations, or liabilities under or by reason of this Agreement, except as expressly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notices or other communications required or permitted hereunder shall be in writing and shall be deemed given or delivered (i) when delivered personally, (ii) if transmitted by facsimile, when confirmation of transmission is received, unless it is not during normal business hours in the place of receipt, in which case it shall be deemed delivered on the next business day, or (iii) if sent by registered or certified mail, return receipt requested, or by private courier, when received; and shall be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3"/>
        <w:tblW w:w="9359.999999999998" w:type="dxa"/>
        <w:jc w:val="left"/>
        <w:tblInd w:w="0.0" w:type="pct"/>
        <w:tblLayout w:type="fixed"/>
        <w:tblLook w:val="0600"/>
      </w:tblPr>
      <w:tblGrid>
        <w:gridCol w:w="1773.5492669621547"/>
        <w:gridCol w:w="398.90896692806"/>
        <w:gridCol w:w="7187.5417661097845"/>
        <w:tblGridChange w:id="0">
          <w:tblGrid>
            <w:gridCol w:w="1773.5492669621547"/>
            <w:gridCol w:w="398.90896692806"/>
            <w:gridCol w:w="7187.54176610978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Indiana Street, Suite 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Golden, Colorado 80401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(303) 839-5907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Graham &amp; Stubbs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1550 17</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Street, Suite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Denver, Colorado 80202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Deborah J. Friedman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(303) 892-7400</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bookmarkStart w:colFirst="0" w:colLast="0" w:name="3rdcrjn" w:id="11"/>
      <w:bookmarkEnd w:id="11"/>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4"/>
        <w:tblW w:w="9359.999999999998" w:type="dxa"/>
        <w:jc w:val="left"/>
        <w:tblInd w:w="0.0" w:type="pct"/>
        <w:tblLayout w:type="fixed"/>
        <w:tblLook w:val="0600"/>
      </w:tblPr>
      <w:tblGrid>
        <w:gridCol w:w="1773.5492669621547"/>
        <w:gridCol w:w="398.90896692806"/>
        <w:gridCol w:w="7187.5417661097845"/>
        <w:tblGridChange w:id="0">
          <w:tblGrid>
            <w:gridCol w:w="1773.5492669621547"/>
            <w:gridCol w:w="398.90896692806"/>
            <w:gridCol w:w="7187.54176610978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Hochschild:</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Hochschild Mining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Calle La Colonia No. 180, Urb. El Vivero, Santiago de Surco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Lima, Peru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Jose Augusto Palma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Isac Burstein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51 1 437-5009</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such party may indicate by a notice delivered to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The provisions of this Agreement, including the provisions of this sentence, may not be amended, modified or supplemented, and waivers or consents to departures from the provisions hereof may not be given, without the written consent of the Company and the Holders of a majority of the then outstanding Registrable Securities. Notwithstanding the foregoing, a waiver or consent to depart from the provisions hereof with respect to a matter that relates exclusively to the rights of Holders of Registrable Securities whose securities are being sold pursuant to a Registration Statement and that does not directly or indirectly affect the rights of other Holders of Registrable Securities may be given by Holders of at least a majority of the Registrable Securities being sold by such Holders pursuant to such Registration Statement;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provisions of this sentence may not be amended, modified, or supplemented except in accordance with the provisions of the immediately preceding sentence. Each Holder of Registrable Securities outstanding at the time of any such amendment, modification, supplement, waiver or consent or thereafter shall be bound by any such amendment, modification, supplement, waiver or consent effected pursuant to this Section 8(c), whether or not any notice, writing or marking indicating such amendment, modification, supplement, waiver or consent appears on the Registrable Securities or is delivered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Any term or provision of this Agreement that is held by a court of competent jurisdiction or other authority to be invalid, void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or other authority declares that any term or provision hereof is invalid, void or unenforceable, the parties agree that the court making such determination shall have the power to reduce the scope, duration, area or applicability of the term or provision, to delete specific words or phrases, or to replace any invalid, void or unenforceable term or provision with a term or provision that is valid and enforceable and that comes closest to expressing the intention of the invalid or unenforceable term or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internal laws (as opposed to the conflicts of law provisions)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Submission to Jurisdiction</w:t>
      </w:r>
      <w:r w:rsidDel="00000000" w:rsidR="00000000" w:rsidRPr="00000000">
        <w:rPr>
          <w:rFonts w:ascii="times new roman" w:cs="times new roman" w:eastAsia="times new roman" w:hAnsi="times new roman"/>
          <w:sz w:val="20"/>
          <w:szCs w:val="20"/>
          <w:rtl w:val="0"/>
        </w:rPr>
        <w:t xml:space="preserve">.  The parties hereby submit to the non-exclusive jurisdiction of any court of the State of New York or the United States District Court for the Southern District of the State of New York for the purpose of any suit, action, or other proceeding arising out of this Agreement, and waive any and all objections to jurisdiction that they may have under the laws of the State of  New York or the United States and any claim or objection that any such court is an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constitutes the full and entire understanding and agreement between the parties with regard to the subjects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two or more counterparts (including by facsimile or similar means of electronic communication),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Hochschild and the Company each agree that irreparable damage would occur in the event that any of the provisions of this Agreement were not performed by them in accordance with the terms hereof and that each party shall be entitled to specific performance of the terms hereof, in addition to any other remedy at law or equity.  Each party hereto expressly waives any requirement that any other party hereto obtain any bond or provide any indemnity in connection with any action seeking injunctive relief or specific enforcement of the provisions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All reasonable, documented out-of-pocket costs and expenses  incurred by the parties in connection with the negotiation, preparation, execution and delivery of this Agreement, including the fees, expenses and disbursements of legal counsel and accountants, shall be paid by the Company.  Except as otherwise set forth in this Agreement, costs and expenses incurred by the parties in connection with the performance of its obligations under this Agreement shall be paid by the party incurring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Approval of Holders</w:t>
      </w:r>
      <w:r w:rsidDel="00000000" w:rsidR="00000000" w:rsidRPr="00000000">
        <w:rPr>
          <w:rFonts w:ascii="times new roman" w:cs="times new roman" w:eastAsia="times new roman" w:hAnsi="times new roman"/>
          <w:sz w:val="20"/>
          <w:szCs w:val="20"/>
          <w:rtl w:val="0"/>
        </w:rPr>
        <w:t xml:space="preserve">.  Whenever the consent or approval of Holders of a specified percentage of Registrable Securities is required hereunder, Registrable Securities held by the Company or its Affiliates (other than Hochschild or subsequent Holders of Registrable Securities if such subsequent Holders are deemed to be Affiliates solely by reason of their holdings of such Registrable Securities) shall not be counted in determining whether such consent or approval was given by the Holders of such required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and the obligations of the parties hereunder shall terminate upon the earlier to occur of (i) the expiration of the Effectiveness Period or (ii) such time as there shall be no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this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5"/>
        <w:tblW w:w="9360.0" w:type="dxa"/>
        <w:jc w:val="left"/>
        <w:tblInd w:w="0.0" w:type="pct"/>
        <w:tblLayout w:type="fixed"/>
        <w:tblLook w:val="0600"/>
      </w:tblPr>
      <w:tblGrid>
        <w:gridCol w:w="518.6864540574676"/>
        <w:gridCol w:w="4235.939374802652"/>
        <w:gridCol w:w="369.4347963372277"/>
        <w:gridCol w:w="4235.939374802652"/>
        <w:tblGridChange w:id="0">
          <w:tblGrid>
            <w:gridCol w:w="518.6864540574676"/>
            <w:gridCol w:w="4235.939374802652"/>
            <w:gridCol w:w="369.4347963372277"/>
            <w:gridCol w:w="4235.93937480265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GOLDEN MINERALS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P. Vogels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P. Vogels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SVP &amp; CFO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6"/>
        <w:tblW w:w="9360.0" w:type="dxa"/>
        <w:jc w:val="left"/>
        <w:tblInd w:w="0.0" w:type="pct"/>
        <w:tblLayout w:type="fixed"/>
        <w:tblLook w:val="0600"/>
      </w:tblPr>
      <w:tblGrid>
        <w:gridCol w:w="518.6864540574676"/>
        <w:gridCol w:w="4235.939374802652"/>
        <w:gridCol w:w="369.4347963372277"/>
        <w:gridCol w:w="4235.939374802652"/>
        <w:tblGridChange w:id="0">
          <w:tblGrid>
            <w:gridCol w:w="518.6864540574676"/>
            <w:gridCol w:w="4235.939374802652"/>
            <w:gridCol w:w="369.4347963372277"/>
            <w:gridCol w:w="4235.93937480265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MH ARGENTINA 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Isac Burstein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Isac Burstein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V.P. Business Development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FORM OF SELLING SECURITYHOLDER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undersigned beneficial owner (the “Selling Securityholder”) of Registrable Securities hereby gives notice to the Company of its intention to sell or otherwise dispose of Registrable Securities beneficially owned by it and listed below in Item 3 (unless otherwise specified under such Item 3) pursuant to the Registration Statement. The undersigned, by signing and returning this Notice and Questionnaire, understands that it will be bound by the terms and conditions of this Notice and Questionnaire and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Pursuant to the Registration Rights Agreement, the undersigned has agreed to indemnify and hold harmless the Company’s directors and officers and each person, if any, who controls the Company within the meaning of either Section 15 of the Securities Act or Section 20 of the Securities Exchange Act of 1934, as amended (the “Exchange Act”), from and against certain losses arising in connection with statements concerning the undersigned made in the Company’s Registration Statement or the related prospectus in reliance upon the information provided in this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If the Selling Securityholder transfers all or any portion of the Registrable Securities listed in Item 3 below after the date on which such information is provided to the Company, the Selling Securityholder agrees to notify the transferee(s) at the time of the transfer of its rights and obligations under the registration Rights Agreement and that the transferee must complete this Notice and Questionnaire in order to avail itself of the rights under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sz w:val="20"/>
          <w:szCs w:val="20"/>
        </w:rPr>
      </w:pPr>
      <w:r w:rsidDel="00000000" w:rsidR="00000000" w:rsidRPr="00000000">
        <w:rPr>
          <w:i w:val="1"/>
          <w:sz w:val="20"/>
          <w:szCs w:val="20"/>
          <w:rtl w:val="0"/>
        </w:rPr>
        <w:t xml:space="preserve">[CONTINUED NEXT PAGE]</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respond to every item, even if your response is “none.” If you need more space for any response, please attach additional sheets of paper. Please be sure to indicate your name and the number of the item being responded to on each such additional sheet of paper, and to sign each such additional sheet of paper before attaching it to this Questionnaire. Please note that you may be asked to answer additional questions depending on your responses to the following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COMPLETED QUESTIONNAIRES SHOULD BE RETURNED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GOLDEN MINERALS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 (1) COPY BY FACSIMILE TO FAX: (303) 839-5907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ORIGINAL COPY TO FOLLOW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provides the following information to the Company and represents and warrants that such information is accurate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Your Identity and Background as the Beneficial Owner of The Registrable Securities.</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full legal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Your business address (including street address) (or residence if no business address), telephone number and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Are you a broker-dealer registered pursuant to Section 15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1(c) above is no, are you an “affiliate” of a broker-dealer registered pursuant to Section 15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Item 1(d), an “affiliate” of a registered broker-dealer shall include any company that directly, or indirectly through one or more intermediaries, controls, or is controlled by, or is under common control with, such broker-dealer, and does not include any individuals employed by such broker-dealer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Full legal name of person or entity in whose name you hold the Registrable Securities—(i.e. name of your broker, if applicable, through which your Registered Securities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broker: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Your Relationship With Golden Minerals Company</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Have you or any of your affiliates, officers, directors or principal equity holders (owners of 5% or more of the equity securities of the undersigned) held any position or office or have you had any other material relationship with Golden Minerals Company (or its predecessors or affiliates) within the past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2(a) above is yes, please state the nature and duration of your relationship with 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Your Interest in the Registrable Securities.</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the number of such Registrable Securities beneficially owned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 than as set forth in your response to Item 3(a) above, do you beneficially own any other securities of Golden Minerals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answer to Item 3(b) above is yes, state the type, the aggregate amount and CUSIP No. (if applicable) of such other securities of Golden Minerals Company beneficially owned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Did you acquire the securities listed in Item 3(a) above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the time of your purchase of the securities listed in Item 3(a) above, did you have any agreements or understandings, directly or indirectly, with any person to distribute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your response to Item 3(e) above is yes, please describe such agreements or understandings: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Nature of Your Beneficial Ownership.</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name of the beneficial owner of the Registrable Securities set forth in your response to Item 1(a) above is that of a limited partnership or corporation, state the names of the general partners of such limited partnership or the officers and directors of such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each general partner listed in Item 4(a) above who is not a natural person, and is not publicly held, name each shareholder (or holder of partnership interests, if applicable) of such general partner. If any of these named shareholders are not natural persons or publicly held entities, please provide the same information. This process should be repeated until you reach natural persons or a publicly held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Name your controlling shareholder(s) or other person or entity who has the ability to exercise control over you (the “Controlling Entity”). If the Controlling Entity is not a natural person and is not a publicly held entity, name each shareholder of such Controlling Entity. If any of these named shareholders are not natural persons or publicly held entities, please provide the same information. This process should be repeated until you reach natural persons or a publicly held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7"/>
        <w:tblW w:w="9360.0" w:type="dxa"/>
        <w:jc w:val="left"/>
        <w:tblInd w:w="0.0" w:type="pct"/>
        <w:tblLayout w:type="fixed"/>
        <w:tblLook w:val="0600"/>
      </w:tblPr>
      <w:tblGrid>
        <w:gridCol w:w="1647.3474845395285"/>
        <w:gridCol w:w="391.1081397292328"/>
        <w:gridCol w:w="7321.544375731238"/>
        <w:tblGridChange w:id="0">
          <w:tblGrid>
            <w:gridCol w:w="1647.3474845395285"/>
            <w:gridCol w:w="391.1081397292328"/>
            <w:gridCol w:w="7321.5443757312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legal name of Controlling Entity(ies) or natural person(s) with who have sole or shared voting or dispositive power over the Registrable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 (including street address) (or residence if no business address), telephone number and facsimile number of such person(s):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Shareholder: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legal name of Controlling Entity(ies):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 (including street address) (or residence if no business address), telephone number and facsimile number of such person(s):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Shareholders: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more space for this response, please attach additional sheets of paper. Please be sure to indicate your name and the number of the item being responded to on each such additional sheet of paper, and to sign each such additional sheet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before attaching it to this Questionnaire. Please note that you may be asked to answer additional questions depending on your responses to the following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Plan of Distribution.</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undersigned (including its donees or pledgees) intends to distribute the Registrable Securities listed above in Item 3 pursuant to the Registration Statement only as follows (if at all): Such Registrable Securities may be sold from time to time directly by the undersigned or, alternatively, through underwriters, broker-dealers or agents. If the Registrable Securities are sold through underwriters, broker-dealers or agents, the Selling Securityholder will be responsible for underwriting discounts or commissions or agents’ commissions. Such Registrable Securities may be sold in one or more transactions at fixed prices, at prevailing market prices at the time of sale, at varying prices determined at the time of sale or at negotiated prices. Such sales may be effected in transactions (which may involve block transactions) (i) on any national securities exchange or quotation service on which the Registrable Securities may be listed or quoted at the time of sale, (ii) in the over-the-counter market, or (iii) in transactions otherwise than on such exchanges or services or in the over-the-counter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this          day of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8"/>
        <w:tblW w:w="9360.0" w:type="dxa"/>
        <w:jc w:val="left"/>
        <w:tblInd w:w="0.0" w:type="pct"/>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w:t>
            </w:r>
          </w:p>
        </w:tc>
      </w:tr>
    </w:tbl>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