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3, 2010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STRICTLY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Brian M. Culley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Business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Adventrx Pharmaceuticals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6725 Mesa Ridge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Diego, CA 92121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Mr. Culley: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letter (the “Agreement”) constitutes the agreement between Adventrx Pharmaceuticals Inc. (the “Company”) and Rodman &amp; Renshaw, LLC (“Rodman”) that Rodman shall serve as the exclusive placement agent (the “Services”) for the Company, on a “best efforts” basis, in connection with the proposed offer and placement (the “Offering”) by the Company of approximately $15.0 million of securities of the Company (the “Securities”), including convertible preferred securities. The terms of the Offering and the Securities shall be mutually agreed upon by the Company and the investors and nothing herein implies that Rodman would have the power or authority to bind the Company or an obligation for the Company to issue any Securities or complete the Offering. The Company expressly acknowledges and agrees that Rodman’s obligations hereunder are on a reasonable best efforts basis only and that the execution of this Agreement does not constitute a commitment by Rodman to purchase the Securities and does not ensure the successful placement of the Securities or any portion thereof or the success of Rodman with respect to securing any other financing on behalf of the Company. As the Offering will consist of registered securities, the provisions of Annex A will apply in addition to the provisions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Fees and Expenses</w:t>
      </w:r>
      <w:r w:rsidDel="00000000" w:rsidR="00000000" w:rsidRPr="00000000">
        <w:rPr>
          <w:rFonts w:ascii="Times New Roman" w:cs="Times New Roman" w:eastAsia="Times New Roman" w:hAnsi="Times New Roman"/>
          <w:sz w:val="20"/>
          <w:szCs w:val="20"/>
          <w:rtl w:val="0"/>
        </w:rPr>
        <w:t xml:space="preserve">. In connection with the Services described above, the Company shall pay to Rodman the following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sz w:val="20"/>
          <w:szCs w:val="20"/>
          <w:u w:val="single"/>
          <w:rtl w:val="0"/>
        </w:rPr>
        <w:t xml:space="preserve">Placement Agent’s Fee</w:t>
      </w:r>
      <w:r w:rsidDel="00000000" w:rsidR="00000000" w:rsidRPr="00000000">
        <w:rPr>
          <w:rFonts w:ascii="Times New Roman" w:cs="Times New Roman" w:eastAsia="Times New Roman" w:hAnsi="Times New Roman"/>
          <w:sz w:val="20"/>
          <w:szCs w:val="20"/>
          <w:rtl w:val="0"/>
        </w:rPr>
        <w:t xml:space="preserve">. The Company shall pay to Rodman a cash placement fee (the “Placement Agent’s Fee”) equal to 7% of the aggregate purchase price paid by each purchaser of Securities that are placed in the Offering. The Placement Agent’s Fee shall be paid at the closing of the Offering (the “Closing”) from the gross proceeds of the Securities sold.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sz w:val="20"/>
          <w:szCs w:val="20"/>
          <w:u w:val="single"/>
          <w:rtl w:val="0"/>
        </w:rPr>
        <w:t xml:space="preserve">Warrants</w:t>
      </w:r>
      <w:r w:rsidDel="00000000" w:rsidR="00000000" w:rsidRPr="00000000">
        <w:rPr>
          <w:rFonts w:ascii="Times New Roman" w:cs="Times New Roman" w:eastAsia="Times New Roman" w:hAnsi="Times New Roman"/>
          <w:sz w:val="20"/>
          <w:szCs w:val="20"/>
          <w:rtl w:val="0"/>
        </w:rPr>
        <w:t xml:space="preserve">. Such number of warrants (the “</w:t>
      </w:r>
      <w:r w:rsidDel="00000000" w:rsidR="00000000" w:rsidRPr="00000000">
        <w:rPr>
          <w:rFonts w:ascii="Times New Roman" w:cs="Times New Roman" w:eastAsia="Times New Roman" w:hAnsi="Times New Roman"/>
          <w:sz w:val="20"/>
          <w:szCs w:val="20"/>
          <w:u w:val="single"/>
          <w:rtl w:val="0"/>
        </w:rPr>
        <w:t xml:space="preserve">Rodman Warrants</w:t>
      </w:r>
      <w:r w:rsidDel="00000000" w:rsidR="00000000" w:rsidRPr="00000000">
        <w:rPr>
          <w:rFonts w:ascii="Times New Roman" w:cs="Times New Roman" w:eastAsia="Times New Roman" w:hAnsi="Times New Roman"/>
          <w:sz w:val="20"/>
          <w:szCs w:val="20"/>
          <w:rtl w:val="0"/>
        </w:rPr>
        <w:t xml:space="preserve">”) to Rodman or its designees at the Closing to purchase shares of Common Stock equal to 5% of the aggregate number of shares or shares underlying any convertible Securities sold in the Offering, but excluding shares underlying any warrants issued to the Purchasers in the Offering. The Rodman Warrants shall have the same terms as the warrants (if any) issued to the Purchasers in the Offering except that the exercise price shall be 125% of the public offering price per share and the expiration date shall be five years from the effective date of the shelf registration statement referred to in Section 2(A) below. The Rodman Warrants shall not be transferable for six months from the date of the Offering except as permitted by FINRA Rule 5110(g)(1), and further, the number of Shares underlying the Rodman Warrants shall be reduced if necessary to comply with FINRA rules or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Term and Termination of Engagement</w:t>
      </w:r>
      <w:r w:rsidDel="00000000" w:rsidR="00000000" w:rsidRPr="00000000">
        <w:rPr>
          <w:rFonts w:ascii="Times New Roman" w:cs="Times New Roman" w:eastAsia="Times New Roman" w:hAnsi="Times New Roman"/>
          <w:sz w:val="20"/>
          <w:szCs w:val="20"/>
          <w:rtl w:val="0"/>
        </w:rPr>
        <w:t xml:space="preserve">. The term (the “Term”) of Rodman’s engagement will begin on the date hereof and end on the earlier of the consummation of the Offering or two business days after the receipt by either party hereto of written notice of termination; provided that no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be given by the Company for a period of 30 days after the date hereof. Notwithstanding anything to the contrary contained herein, the provisions concerning confidentiality, indemnification and contribution contained herein and the Company’s obligations contained in Section H hereof will survive any expiration or termination of this Agreement, and the Company’s obligation to pay fees actually earned and payable and to reimburse expenses actually incurred and reimbursable pursuant to Section A hereof, if any, will survive any expiration or termination of this Agreement, as permitted by FINRA Rule 5110(f)(2)(d). Upon any termination of this Agreement, the Company’s obligation to reimburse Rodman for out of pocket accountable expenses actually incurred by Rodman and reimbursable upon closing of the Offering pursuant to Section A, if any, or otherwise due under Section A hereof, will survive any expiration or termination of this Agreement, as permitted by FINRA Rule 5110(f)(2)(d).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Use of Information</w:t>
      </w:r>
      <w:r w:rsidDel="00000000" w:rsidR="00000000" w:rsidRPr="00000000">
        <w:rPr>
          <w:rFonts w:ascii="Times New Roman" w:cs="Times New Roman" w:eastAsia="Times New Roman" w:hAnsi="Times New Roman"/>
          <w:sz w:val="20"/>
          <w:szCs w:val="20"/>
          <w:rtl w:val="0"/>
        </w:rPr>
        <w:t xml:space="preserve">. The Company will furnish Rodman such written information as Rodman reasonably requests in connection with the performance of its services hereunder. The Company understands, acknowledges and agrees that, in performing its services hereunder, Rodman will use and rely entirely upon such information as well as publicly available information regarding the Company and other potential parties to an Offering and that Rodman does not assume responsibility for independent verification of the accuracy or completeness of any information, whether publicly available or otherwise furnished to it, concerning the Company or otherwise relevant to an Offering, including, without limitation, any financial information, forecasts or projections considered by Rodman in connection with the provision of its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In the event of the consummation or public announcement of any Offering, Rodman shall have the right to disclose its participation in such Offering, including, without limitation, the placement at its cost of “tombstone” advertisements in financial and other newspapers and journals. Rodman agrees not to use any confidential information concerning the Company provided to Rodman by the Company for any purposes other than those contemplated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Securities Matters</w:t>
      </w:r>
      <w:r w:rsidDel="00000000" w:rsidR="00000000" w:rsidRPr="00000000">
        <w:rPr>
          <w:rFonts w:ascii="Times New Roman" w:cs="Times New Roman" w:eastAsia="Times New Roman" w:hAnsi="Times New Roman"/>
          <w:sz w:val="20"/>
          <w:szCs w:val="20"/>
          <w:rtl w:val="0"/>
        </w:rPr>
        <w:t xml:space="preserve">. The Company shall be responsible for any and all compliance with the securities laws applicable to it, including Regulation D and the Securities Act of 1933, as amended (the “Securities Act”), and Rule 506 promulgated thereunder, and unless otherwise agreed in writing, all state securities (“blue sky”) laws. Rodman agrees to cooperate with counsel to the Company in that regard.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Company Acknowledgement</w:t>
      </w:r>
      <w:r w:rsidDel="00000000" w:rsidR="00000000" w:rsidRPr="00000000">
        <w:rPr>
          <w:rFonts w:ascii="Times New Roman" w:cs="Times New Roman" w:eastAsia="Times New Roman" w:hAnsi="Times New Roman"/>
          <w:sz w:val="20"/>
          <w:szCs w:val="20"/>
          <w:rtl w:val="0"/>
        </w:rPr>
        <w:t xml:space="preserve">. The Company acknowledges that the Offering of convertible Securities may create significant risks, including the risk that the Company may have insufficient cash resources and/or registered shares to timely meet its payment and conversion obligations. The Company further acknowledges that, depending on the number and price of new shares issued, such transaction may result in substantial dilution which could adversely affect the market price of the Company’s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Indemnity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 connection with the Company’s engagement of Rodman as placement agent, the Company hereby agrees to indemnify and hold harmless Rodman and its affiliates, and the respective controlling persons, directors, officers, shareholders, agents and employees of any of the foregoing (collectively the “Indemnified Persons”), from and against any and all claims, actions, suits, proceedings (including those of shareholders), damages, liabilities and expenses incurred by any of them (including the reasonable fees and expenses of counsel), as incurred, (collectively a “Claim”), that are (A) related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arise out of (i) any actions taken or omitted to be taken (including any untrue statements made or any statements omitted to be made) by the Company, or (ii) any actions taken or omitted to be taken by any Indemnified Person in connection with the Company’s engagement of Rodman, or (B) otherwise relate to or arise out of Rodman’s activities on the Company’s behalf under Rodman’s engagement, and the Company shall reimburse any Indemnified Person for all expenses (including the reasonable fees and expenses of counsel) as incurred by such Indemnified Person in connection with investigating, preparing or defending any such claim, action, suit or proceeding, whether or not in connection with pending or threatened litigation in which any Indemnified Person is a party. The Company will not, however, be responsible for any Claim, that is finally judicially determined to have resulted from the gross negligence or willful misconduct of any person seeking indemnification for such Claim. The Company further agrees that no Indemnified Person shall have any liability to the Company for or in connection with the Company’s engagement of Rodman except for any Claim incurred by the Company as a result of such Indemnified Person’s gross negligence or willful misconduct.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Company further agrees that it will not, without the prior written consent of Rodman, settle, compromise or consent to the entry of any judgment in any pending or threatened Claim in respect of which indemnification may be sought hereunder (whether or not any Indemnified Person is an actual or potential party to such Claim), unless such settlement, compromise or consent includes an unconditional, irrevocable release of each Indemnified Person from any and all liability arising out of such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Promptly upon receipt by an Indemnified Person of notice of any complaint or the assertion or institution of any Claim with respect to which indemnification is being sought hereunder, such Indemnified Person shall notify the Company in writing of such complaint or of such assertion or institution but failure to so notify the Company shall not relieve the Company from any obligation it may have hereunder, except and only to the extent such failure results in the forfeiture by the Company of substantial rights and defenses. If the Company so elects or is requested by such Indemnified Person, the Company will assume the defense of such Claim, including the employment of counsel reasonably satisfactory to such Indemnified Person and the payment of the fees and expenses of such counsel. In the event, however, that legal counsel to such Indemnified Person reasonably determines that having common counsel would present such counsel with a conflict of interest or if the defendant in, or target of, any such Claim, includes an Indemnified Person and the Company, and legal counsel to such Indemnified Person reasonably concludes that there may be legal defenses available to it or other Indemnified Persons different from or in addition to those available to the Company, then such Indemnified Person may employ its own separate counsel to represent or defend him, her or it in any such Claim and the Company shall pay the reasonable fees and expenses of such counsel. Notwithstanding anything herein to the contrary, if the Company fails timely or diligently to defend, contest, or otherwise protect against any Claim, the relevant Indemnified Party shall have the right, but not the obligation, to defend, contest, compromise, settle, assert crossclaims, or counterclaims or otherwise protect against the same, and shall be fully indemnified by the Company therefor, including without limitation, for the reasonable fees and expenses of its counsel and all amounts paid as a result of such Claim or the compromise or settlement thereof. In addition, with respect to any Claim in which the Company assumes the defense, the Indemnified Person shall have the right to participate in such Claim and to retain his, her or its own counsel therefor at his, her or its own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Company agrees that if any indemnity sought by an Indemnified Person hereunder is held by a court to be unavailable for any reason then (whether or not Rodman is the Indemnified Person), the Company and Rodman shall contribute to the Claim for which such indemnity is held unavailable in such proportion as is appropriate to reflect the relative benefits to the Company, on the one hand, and Rodman on the other, in connection with Rodman’s engagement referred to above, subject to the limitation that in no event shall the amount of Rodman’s contribution to such Claim exceed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fees actually received by Rodman from the Company pursuant to Rodman’s engagement. The Company hereby agrees that the relative benefits to the Company, on the one hand, and Rodman on the other, with respect to Rodman’s engagement shall be deemed to be in the same proportion as (a) the total value paid or proposed to be paid or received by the Company or its stockholders as the case may be, pursuant to the Offering (whether or not consummated) for which Rodman is engaged to render services bears to (b) the fee paid or proposed to be paid to Rodman in connection with such engagement.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Company’s indemnity, reimbursement and contribution obligations under this Agreement (a) shall be in addition to, and shall in no way limit or otherwise adversely affect any rights that any Indemnified Party may have at law or at equity and (b) shall be effective whether or not the Company is at fault in any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Limitation of Engagement to the Company</w:t>
      </w:r>
      <w:r w:rsidDel="00000000" w:rsidR="00000000" w:rsidRPr="00000000">
        <w:rPr>
          <w:rFonts w:ascii="Times New Roman" w:cs="Times New Roman" w:eastAsia="Times New Roman" w:hAnsi="Times New Roman"/>
          <w:sz w:val="20"/>
          <w:szCs w:val="20"/>
          <w:rtl w:val="0"/>
        </w:rPr>
        <w:t xml:space="preserve">. The Company acknowledges that Rodman has been retained only by the Company, that Rodman is providing services hereunder as an independent contractor (and not in any fiduciary or agency capacity) and that the Company’s engagement of Rodman is not deemed to be on behalf of, and is not intended to confer rights upon, any shareholder, owner or partner of the Company or any other person not a party hereto as against Rodman or any of its affiliates, or any of its or their respective officers, directors, controlling persons (within the meaning of Section 15 of the Securities Act or Section 20 of the Securities Exchange Act of 1934, as amended (the “Exchange Act”)), employees or agents. Unless otherwise expressly agreed in writing by Rodman, no one other than the Company is authorized to rely upon this Agreement or any other statements or conduct of Rodman, and no one other than the Company is intended to be a beneficiary of this Agreement. The Company acknowledges that any recommendation or advice, written or oral, given by Rodman to the Company in connection with Rodman’s engagement is intended solely for the benefit and use of the Company’s management and directors in considering a possible Offering, and any such recommendation or advice is not on behalf of, and shall not confer any rights or remedies upon, any other person or be used or relied upon for any other purpose. Rodman shall not have the authority to make any commitment binding on the Company. The Company, in its sole discretion, shall have the right to reject any investor introduced to it by Rodman. The Company agrees that it will perform and comply with the covenants and other obligations set forth in the purchase agreement and related transaction documents between the Company and the investors in the Offering, and that Rodman will be entitled to rely on the representations, warranties, agreements and covenants of the Company contained in such purchase agreement and related transaction documents as if such representations, warranties, agreements and covenants were made directly to Rodman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sz w:val="20"/>
          <w:szCs w:val="20"/>
          <w:u w:val="single"/>
          <w:rtl w:val="0"/>
        </w:rPr>
        <w:t xml:space="preserve">Limitation of Rodman’s Liability to the Company</w:t>
      </w:r>
      <w:r w:rsidDel="00000000" w:rsidR="00000000" w:rsidRPr="00000000">
        <w:rPr>
          <w:rFonts w:ascii="Times New Roman" w:cs="Times New Roman" w:eastAsia="Times New Roman" w:hAnsi="Times New Roman"/>
          <w:sz w:val="20"/>
          <w:szCs w:val="20"/>
          <w:rtl w:val="0"/>
        </w:rPr>
        <w:t xml:space="preserve">. Rodman and the Company further agree that neither Rodman nor any of its affiliates or any of its their respective officers, directors, controlling persons (within the meaning of Section 15 of the Securities Act or Section 20 of the Exchange Act), employees or agents shall have any liability to the Company, its security holders or creditors, or any person asserting claims on behalf of or in the right of the Company (whether direct or indirect, in contract, tort, for an act of negligence or otherwise) for any losses, fees, damages, liabilities, costs, expenses or equitable relief arising out of or relating to this Agreement or the Services rendered hereunder, except for losses, fees, damages, liabilities, costs or expenses that arise out of or are based on any action of or failure to act by Rodman and that are finally judicially determined to have resulted solely from the gross negligence or willful misconduct of Rodman.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New York applicable to agreements made and to be fully performed therein. Any disputes that arise under this Agreement, even after the termination of this Agreement, will be heard only in the state or federal courts located in the City of New York, State of New York. The parties hereto expressly agree to submit themselves to the jurisdiction of the foregoing courts in the City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New York. The parties hereto expressly waive any rights they may have to contest the jurisdiction, venue or authority of any court sitting in the City and State of New York. In the event of the bringing of any action, or suit by a party hereto against the other party hereto, arising out of or relating to this Agreement, the party in whose favor the final judgment or award shall be entered shall be entitled to have and recover from the other party the costs and expenses incurred in connection therewith, including its reasonable attorneys’ fees. Any rights to trial by jury with respect to any such action, proceeding or suit are hereby waived by Rodman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hereunder will be in writing and sent by certified mail, hand delivery, overnight delivery or fax, if sent to Rodman, to Rodman &amp; Renshaw, LLC, at the address set forth on the first page hereof, fax number (646) 841-1640, Attention: General Counsel, and if sent to the Company, to the address set forth on the first page hereof, fax number (858) 552-0876, Attention: Chief Business Officer. Notices sent by certified mail shall be deemed received five days thereafter, notices sent by hand delivery or overnight delivery shall be deemed received on the date of the relevant written record of receipt, and notices delivered by fax shall be deemed received as of the date and time printed thereon by the fax machine.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This Agreement shall not be modified or amended except in writing signed by Rodman and the Company. This Agreement shall be binding upon and inure to the benefit of both Rodman and the Company and their respective assigns, successors, and legal representatives. This Agreement constitutes the entire agreement of Rodman and the Company with respect to this Offering and supersedes any prior agreements with respect to the subject matter hereof, and the May 22, 2009 engagement agreement between the parties shall continue in accordance with its terms other than with respect to this Offering. If any provision of this Agreement is determined to be invalid or unenforceable in any respect, such determination will not affect such provision in any other respect, and the remainder of the Agreement shall remain in full force and effect. This Agreement may be executed in counterparts (including facsimile counterparts),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acknowledgment that the foregoing correctly sets forth the understanding reached by Rodman and the Company, please sign in the space provided below, whereupon this letter shall constitute a binding Agreement as of the date indicated above.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RODMAN &amp; RENSHAW, LLC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Borer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Borer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 Managing Director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and Agreed: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ADVENTRX PHARMACEUTICALS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3744.000000000000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3.73852368710976"/>
        <w:gridCol w:w="343.73852368710976"/>
        <w:gridCol w:w="3056.522952625781"/>
        <w:tblGridChange w:id="0">
          <w:tblGrid>
            <w:gridCol w:w="343.73852368710976"/>
            <w:gridCol w:w="343.73852368710976"/>
            <w:gridCol w:w="3056.52295262578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Brian M. Culley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Brian M. Culley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Business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Additional Provisions With Respect to a Registered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WARRANTS</w:t>
      </w:r>
      <w:r w:rsidDel="00000000" w:rsidR="00000000" w:rsidRPr="00000000">
        <w:rPr>
          <w:rFonts w:ascii="Times New Roman" w:cs="Times New Roman" w:eastAsia="Times New Roman" w:hAnsi="Times New Roman"/>
          <w:sz w:val="20"/>
          <w:szCs w:val="20"/>
          <w:rtl w:val="0"/>
        </w:rPr>
        <w:t xml:space="preserve"> The Rodman Warrants described in Section A.2 shall not be transferable except as permitted by FINRA Rule 5110.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REGISTRATION STATEMENT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represents and warrants to, and agrees with, the Placement Agent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has filed with the Securities and Exchange Commission (the “Commission”) a registration statement on Form S-3 (Registration File No. 333-159376) under the Securities Act of 1933, as amended (the “Securities Act”), which became effective on June 4, 2009, for the registration under the Securities Act of the Shares. At the time of such filing, the Company met the requirements of Form S-3 under the Securities Act. Such registration statement meets the requirements set forth in Rule 415(a)(1)(x) under the Securities Act and complies with said Rule. The Company will file with the Commission pursuant to Rule 424(b) under the Securities Act, and the rules and regulations (the “Rules and Regulations”) of the Commission promulgated thereunder, a supplement to the form of prospectus included in such registration statement relating to the placement of the Shares and the plan of distribution thereof and has advised the Placement Agent of all further information (financial and other) with respect to the Company required to be set forth therein. Such registration statement, including the exhibits thereto, as amended at the date of this Agreement, is hereinafter called the “Registration Statement”; such prospectus in the form in which it appears in the Registration Statement is hereinafter called the “Base Prospectus”; and the supplemented form of prospectus, in the form in which it will be filed with the Commission pursuant to Rule 424(b) (including the Base Prospectus as so supplemented) is hereinafter called the “Prospectus Supplement.” Any reference in this Agreement to the Registration Statement, the Base Prospectus or the Prospectus Supplement shall be deemed to refer to and include the documents incorporated by reference therein (the “Incorporated Documents”) pursuant to Item 12 of Form S-3 which were filed under the Securities Exchange Act of 1934, as amended (the “Exchange Act”), on or before the date of this Agreement, or the issue date of the Base Prospectus or the Prospectus Supplement, as the case may be; and any reference in this Agreement to the terms “amend,” “amendment” or “supplement” with respect to the Registration Statement, the Base Prospectus or the Prospectus Supplement shall be deemed to refer to and include the filing of any document under the Exchange Act after the date of this Agreement, or the issue date of the Base Prospectus or the Prospectus Supplement, as the case may be, deemed to be incorporated therein by reference. All references in this Agreement to financial statements and schedules and other information which is “contained,” “included,” “described,” “referenced,” “set forth” or “stated” in the Registration Statement, the Base Prospectus or the Prospectus Supplement (and all other references of like import) shall be deemed to mean and include all such financial statements and schedules and other information which is or is deemed to be incorporated by reference in the Registration Statement, the Base Prospectus or the Prospectus Supplement, as the case may be. No stop order suspending the effectiveness of the Registration Statement or the use of the Base Prospectus or the Prospectus Supplement has been issued, and no proceeding for any such purpose is pending or has been initiated or, to the Company’s knowledge, is threatened by the Commission. For purposes of this Agreement, “free writing prospectus” has the meaning set forth in Rule 405 under the Securities Act and the “Time of Sale Prospectus” means the preliminary prospectus, if any, together with the free writing prospectuses, if any, used in connection with the Placement, including any documents incorporated by reference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Registration Statement (and any further documents to be filed with the Commission) contains all exhibits and schedules as required by the Securities Act. Each of the Registration Statement and any post-effective amendment thereto, at the time it became effective, complied in all material respects with the Securities Act and the Exchange Act and the applicable Rules and Regulations and did not and, as amended or supplemented, if applicable, will not, contain any untrue statement of a material fact or omit to state a material fact required to be stated therein or necessary to make the statements therein not misleading. The Base Prospectus, the Time of Sale Prospectus, if any, and the Prospectus Supplement, each as of its respective date, comply in all material respects with the Securities Act and the Exchange Act and the applicable Rules and Regulations. Each of the Base Prospectus, the Time of Sale Prospectus, if any, and the Prospectus Supplement, as amended or supplemented, did not and will not contain as of the date thereof any untrue statement of a material fact or omit to state a material fact necessary in order to make the statements therein, in light of the circumstances under which they were made, not misleading. The Incorporated Documents, when they were filed with the Commission, conformed in all material respects to the requirements of the Exchange Act and the applicable Rules and Regulations, and none of such documents, when they were filed with the Commission, contained any untrue statement of a material fact or omitted to state a material fact necessary to make the statements therein (with respect to Incorporated Documents incorporated by reference in the Base Prospectus or Prospectus Supplement), in light of the circumstances under which they were made not misleading; and any further documents so filed and incorporated by reference in the Base Prospectus, the Time of Sale Prospectus, if any, or Prospectus Supplement, when such documents are filed with the Commission, will conform in all material respects to the requirements of the Exchange Act and the applicable Rules and Regulations, as applicable, and will not contain any untrue statement of a material fact or omit to state a material fact necessary to make the statements therein, in light of the circumstances under which they were made, not misleading. No post-effective amendment to the Registration Statement reflecting any facts or events arising after the date thereof which represent, individually or in the aggregate, a fundamental change in the information set forth therein is required to be filed with the Commission. There are no documents required to be filed with the Commission in connection with the transaction contemplated hereby that (x) have not been filed as required pursuant to the Securities Act or (y) will not be filed within the requisite time period. There are no contracts or other documents required to be described in the Base Prospectus, the Time of Sale Prospectus, if any, or Prospectus Supplement, or to be filed as exhibits or schedules to the Registration Statement, which have not been described or filed as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is eligible to use free writing prospectuses in connection with the Placement pursuant to Rules 164 and 433 under the Securities Act. Any free writing prospectus that the Company is required to file pursuant to Rule 433(d) under the Securities Act has been, or will be, filed with the Commission in accordance with the requirements of the Securities Act and the applicable rules and regulations of the Commission thereunder. Each free writing prospectus that the Company has filed, or is required to file, pursuant to Rule 433(d) under the Securities Act or that was prepared by or behalf of or used by the Company complies or will comply in all material respects with the requirements of the Securities Act and the applicable rules and regulations of the Commission thereunder. The Company will not, without the prior consent of the Placement Agent, prepare, use or refer to, any free writing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has delivered, or will as promptly as practicable deliver, to the Placement Agent complete conformed copies of the Registration Statement and of each consent and certificate of experts, as applicable, filed as a part thereof, and conformed copies of the Registration Statement (without exhibits), the Base Prospectus, the Time of Sale Prospectus, if any, and the Prospectus Supplement, as amended or supplemented, in such quantities and at such places as the Placement Agent reasonably requests. Neither the Company nor any of its directors and officers has distributed and none of them will distribute, prior to the Closing Date, any offering material in connection with the offering and sale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other than the Base Prospectus, the Time of Sale Prospectus, if any, the Prospectus Supplement, the Registration Statement, copies of the documents incorporated by reference therein and any other materials permitted by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Except as set forth under the corresponding section of the Disclosure Schedules or as disclosed in the SEC Reports (as defined below) or the Registration Statement, the Company hereby makes the representations and warranties set forth below to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 All of the direct and indirect subsidiaries (individually, a “</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of the Company are set forth on Schedule 3(A). The Company owns, directly or indirectly, all of the capital stock or other equity interests of each Subsidiary free and clear of any “</w:t>
      </w:r>
      <w:r w:rsidDel="00000000" w:rsidR="00000000" w:rsidRPr="00000000">
        <w:rPr>
          <w:rFonts w:ascii="Times New Roman" w:cs="Times New Roman" w:eastAsia="Times New Roman" w:hAnsi="Times New Roman"/>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 (which for purposes of this Agreement shall mean a lien, charge, security interest, encumbrance, right of first refusal, preemptive right or other restriction), and all the issued and outstanding shares of capital stock of each Subsidiary are validly issued and are fully paid, non-assessable and free of preemptive and similar rights to subscribe for or purchase securities. The Company and each of the Subsidiaries is an entity duly incorporated or otherwise organized, validly existing and in good standing under the laws of the jurisdiction of its incorporation or organization (as applicable), with the requisite power and authority to own and use its properties and assets and to carry on its business as currently conducted. Neither the Company nor any Subsidiary is in violation 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any Transaction Document (any of (i), (ii) or (iii), a “</w:t>
      </w:r>
      <w:r w:rsidDel="00000000" w:rsidR="00000000" w:rsidRPr="00000000">
        <w:rPr>
          <w:rFonts w:ascii="Times New Roman" w:cs="Times New Roman" w:eastAsia="Times New Roman" w:hAnsi="Times New Roman"/>
          <w:sz w:val="20"/>
          <w:szCs w:val="20"/>
          <w:u w:val="single"/>
          <w:rtl w:val="0"/>
        </w:rPr>
        <w:t xml:space="preserve">Material Adverse Effect</w:t>
      </w:r>
      <w:r w:rsidDel="00000000" w:rsidR="00000000" w:rsidRPr="00000000">
        <w:rPr>
          <w:rFonts w:ascii="Times New Roman" w:cs="Times New Roman" w:eastAsia="Times New Roman" w:hAnsi="Times New Roman"/>
          <w:sz w:val="20"/>
          <w:szCs w:val="20"/>
          <w:rtl w:val="0"/>
        </w:rPr>
        <w:t xml:space="preserve">”) and no “</w:t>
      </w:r>
      <w:r w:rsidDel="00000000" w:rsidR="00000000" w:rsidRPr="00000000">
        <w:rPr>
          <w:rFonts w:ascii="Times New Roman" w:cs="Times New Roman" w:eastAsia="Times New Roman" w:hAnsi="Times New Roman"/>
          <w:sz w:val="20"/>
          <w:szCs w:val="20"/>
          <w:u w:val="single"/>
          <w:rtl w:val="0"/>
        </w:rPr>
        <w:t xml:space="preserve">Proceeding</w:t>
      </w:r>
      <w:r w:rsidDel="00000000" w:rsidR="00000000" w:rsidRPr="00000000">
        <w:rPr>
          <w:rFonts w:ascii="Times New Roman" w:cs="Times New Roman" w:eastAsia="Times New Roman" w:hAnsi="Times New Roman"/>
          <w:sz w:val="20"/>
          <w:szCs w:val="20"/>
          <w:rtl w:val="0"/>
        </w:rPr>
        <w:t xml:space="preserve">” (which for purposes of this Agreement shall mean any action, claim, suit, investigation or proceeding (including, without limitation, an investigation or partial proceeding, such as a deposition), whether commenced or threatened) has been instituted in any such jurisdiction revoking, limiting or curtailing or seeking to revoke, limit or curtail such power and authority or qualification.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Authorization; Enforcement</w:t>
      </w:r>
      <w:r w:rsidDel="00000000" w:rsidR="00000000" w:rsidRPr="00000000">
        <w:rPr>
          <w:rFonts w:ascii="Times New Roman" w:cs="Times New Roman" w:eastAsia="Times New Roman" w:hAnsi="Times New Roman"/>
          <w:sz w:val="20"/>
          <w:szCs w:val="20"/>
          <w:rtl w:val="0"/>
        </w:rPr>
        <w:t xml:space="preserve">. The Company has the requisite corporate power and authority to enter into and to consummate the transactions contemplated by each of the Transaction Documents and otherwise to carry out its obligations hereunder and thereunder. The execution and delivery of each of the Transaction Documents by the Company and the consummation by it of the transactions contemplated thereby have been duly authorized by all necessary action on the part of the Company and no further action is required by the Company, its board of directors or its stockholders in connection therewith other than in connection with the “</w:t>
      </w:r>
      <w:r w:rsidDel="00000000" w:rsidR="00000000" w:rsidRPr="00000000">
        <w:rPr>
          <w:rFonts w:ascii="Times New Roman" w:cs="Times New Roman" w:eastAsia="Times New Roman" w:hAnsi="Times New Roman"/>
          <w:sz w:val="20"/>
          <w:szCs w:val="20"/>
          <w:u w:val="single"/>
          <w:rtl w:val="0"/>
        </w:rPr>
        <w:t xml:space="preserve">Required Approvals</w:t>
      </w:r>
      <w:r w:rsidDel="00000000" w:rsidR="00000000" w:rsidRPr="00000000">
        <w:rPr>
          <w:rFonts w:ascii="Times New Roman" w:cs="Times New Roman" w:eastAsia="Times New Roman" w:hAnsi="Times New Roman"/>
          <w:sz w:val="20"/>
          <w:szCs w:val="20"/>
          <w:rtl w:val="0"/>
        </w:rPr>
        <w:t xml:space="preserve">” (as defined in subsection 3(D) below). Each Transaction Document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applicable bankruptcy, insolvency, reorganization, moratorium and other laws of general application affecting enforcement of creditors’ rights generally and (ii) as limited by laws relating to the availability of specific performance, injunctive relief or other equitable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No Conflicts</w:t>
      </w:r>
      <w:r w:rsidDel="00000000" w:rsidR="00000000" w:rsidRPr="00000000">
        <w:rPr>
          <w:rFonts w:ascii="Times New Roman" w:cs="Times New Roman" w:eastAsia="Times New Roman" w:hAnsi="Times New Roman"/>
          <w:sz w:val="20"/>
          <w:szCs w:val="20"/>
          <w:rtl w:val="0"/>
        </w:rPr>
        <w:t xml:space="preserve">. The execution, delivery and performance of the Transaction Documents by the Company, the issuance and sale of the Securities and the consummation by the Company of the other transactions contemplated hereby and thereby do not and will not (i) conflict with or violate any provision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Company’s or any Subsidiary’s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Filings, Consents and Approvals</w:t>
      </w:r>
      <w:r w:rsidDel="00000000" w:rsidR="00000000" w:rsidRPr="00000000">
        <w:rPr>
          <w:rFonts w:ascii="Times New Roman" w:cs="Times New Roman" w:eastAsia="Times New Roman" w:hAnsi="Times New Roman"/>
          <w:sz w:val="20"/>
          <w:szCs w:val="20"/>
          <w:rtl w:val="0"/>
        </w:rPr>
        <w:t xml:space="preserve">. The Company is not required to obtain any consent, waiver, authorization or order of, give any notice to, or make any filing or registration with, any court or other federal, state, local or other governmental authority or other “</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(defined as an individual or corporation, partnership, trust, incorporated or unincorporated association, joint venture, limited liability company, joint stock company, government (or an agency or subdivision thereof) or other entity of any kind, including, without limitation, any Trading Market) in connection with the execution, delivery and performance by the Company of the Transaction Documents, other than such filings as are required to be made under applicable Federal and state securities laws, under the applicable rules of the NYSE Amex (“</w:t>
      </w:r>
      <w:r w:rsidDel="00000000" w:rsidR="00000000" w:rsidRPr="00000000">
        <w:rPr>
          <w:rFonts w:ascii="Times New Roman" w:cs="Times New Roman" w:eastAsia="Times New Roman" w:hAnsi="Times New Roman"/>
          <w:sz w:val="20"/>
          <w:szCs w:val="20"/>
          <w:u w:val="single"/>
          <w:rtl w:val="0"/>
        </w:rPr>
        <w:t xml:space="preserve">AMEX</w:t>
      </w:r>
      <w:r w:rsidDel="00000000" w:rsidR="00000000" w:rsidRPr="00000000">
        <w:rPr>
          <w:rFonts w:ascii="Times New Roman" w:cs="Times New Roman" w:eastAsia="Times New Roman" w:hAnsi="Times New Roman"/>
          <w:sz w:val="20"/>
          <w:szCs w:val="20"/>
          <w:rtl w:val="0"/>
        </w:rPr>
        <w:t xml:space="preserve">”) or that certain Rights Agreement, dated July 27, 2005, as amended (the “</w:t>
      </w:r>
      <w:r w:rsidDel="00000000" w:rsidR="00000000" w:rsidRPr="00000000">
        <w:rPr>
          <w:rFonts w:ascii="Times New Roman" w:cs="Times New Roman" w:eastAsia="Times New Roman" w:hAnsi="Times New Roman"/>
          <w:sz w:val="20"/>
          <w:szCs w:val="20"/>
          <w:u w:val="single"/>
          <w:rtl w:val="0"/>
        </w:rPr>
        <w:t xml:space="preserve">Rights Agreement</w:t>
      </w:r>
      <w:r w:rsidDel="00000000" w:rsidR="00000000" w:rsidRPr="00000000">
        <w:rPr>
          <w:rFonts w:ascii="Times New Roman" w:cs="Times New Roman" w:eastAsia="Times New Roman" w:hAnsi="Times New Roman"/>
          <w:sz w:val="20"/>
          <w:szCs w:val="20"/>
          <w:rtl w:val="0"/>
        </w:rPr>
        <w:t xml:space="preserve">”) (collectively, the “</w:t>
      </w:r>
      <w:r w:rsidDel="00000000" w:rsidR="00000000" w:rsidRPr="00000000">
        <w:rPr>
          <w:rFonts w:ascii="Times New Roman" w:cs="Times New Roman" w:eastAsia="Times New Roman" w:hAnsi="Times New Roman"/>
          <w:sz w:val="20"/>
          <w:szCs w:val="20"/>
          <w:u w:val="single"/>
          <w:rtl w:val="0"/>
        </w:rPr>
        <w:t xml:space="preserve">Required Approvals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Issuance of the Securities; Registration</w:t>
      </w:r>
      <w:r w:rsidDel="00000000" w:rsidR="00000000" w:rsidRPr="00000000">
        <w:rPr>
          <w:rFonts w:ascii="Times New Roman" w:cs="Times New Roman" w:eastAsia="Times New Roman" w:hAnsi="Times New Roman"/>
          <w:sz w:val="20"/>
          <w:szCs w:val="20"/>
          <w:rtl w:val="0"/>
        </w:rPr>
        <w:t xml:space="preserve">. The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 The Company has reserved from its duly authorized capital stock the maximum number of shares of Common Stock issuable pursuant to the Transaction Documents. The issuance by the Company of the Securities has been registered under the Securities Act and all of the Securities are freely transferable and tradable by the Purchasers without restriction (other than any restrictions arising solely from an act or omission of a Purchaser). The Securities are being issued pursuant to the Registration Statement and the issuance of the Securities has been registered by the Company under the Securities Act. The Registration Statement is effective and available for the issuance of the Securities thereunder and the Company has not received any notice that the Commission has issued or intends to issue a stop-order with respect to the Registration Statement or that the Commission otherwise has suspended or withdrawn the effectiveness of the Registration Statement, either temporarily or permanently, or intends or has threatened in writing to do so. The “Plan of Distribution” section under the Registration Statement permits the issuance and sale of the Securities hereunder. Upon receipt of the Securities, the Purchasers will have good and marketable title to such Securities and the Securities will be freely tradable on the “</w:t>
      </w:r>
      <w:r w:rsidDel="00000000" w:rsidR="00000000" w:rsidRPr="00000000">
        <w:rPr>
          <w:rFonts w:ascii="Times New Roman" w:cs="Times New Roman" w:eastAsia="Times New Roman" w:hAnsi="Times New Roman"/>
          <w:sz w:val="20"/>
          <w:szCs w:val="20"/>
          <w:u w:val="single"/>
          <w:rtl w:val="0"/>
        </w:rPr>
        <w:t xml:space="preserve">Trading Market</w:t>
      </w:r>
      <w:r w:rsidDel="00000000" w:rsidR="00000000" w:rsidRPr="00000000">
        <w:rPr>
          <w:rFonts w:ascii="Times New Roman" w:cs="Times New Roman" w:eastAsia="Times New Roman" w:hAnsi="Times New Roman"/>
          <w:sz w:val="20"/>
          <w:szCs w:val="20"/>
          <w:rtl w:val="0"/>
        </w:rPr>
        <w:t xml:space="preserve">” (which, for purposes of this Agreement shall mean means the following markets or exchanges on which the Common Stock is listed or quoted for trading on the date in question: the Nasdaq Capital Market, the NYSE Alternext US, the New York Stock Exchange, the Nasdaq National Market or the OTC Bulletin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The capitalization of the Company is as set forth on Schedule 3(F). The Company has not issued any capital stock since its most recently filed periodic report under the Exchange Act, other than pursuant to the exercise of employee stock options under the Company’s stock option plans, the issuance of shares of Common Stock to employees pursuant to the Company’s employee stock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and pursuant to the conversion or exercise of securities exercisable, exchangeable or convertible into Common Stock (“</w:t>
      </w:r>
      <w:r w:rsidDel="00000000" w:rsidR="00000000" w:rsidRPr="00000000">
        <w:rPr>
          <w:rFonts w:ascii="Times New Roman" w:cs="Times New Roman" w:eastAsia="Times New Roman" w:hAnsi="Times New Roman"/>
          <w:sz w:val="20"/>
          <w:szCs w:val="20"/>
          <w:u w:val="single"/>
          <w:rtl w:val="0"/>
        </w:rPr>
        <w:t xml:space="preserve">Common Stock Equivalents</w:t>
      </w:r>
      <w:r w:rsidDel="00000000" w:rsidR="00000000" w:rsidRPr="00000000">
        <w:rPr>
          <w:rFonts w:ascii="Times New Roman" w:cs="Times New Roman" w:eastAsia="Times New Roman" w:hAnsi="Times New Roman"/>
          <w:sz w:val="20"/>
          <w:szCs w:val="20"/>
          <w:rtl w:val="0"/>
        </w:rPr>
        <w:t xml:space="preserve">”). No Person has any right of first refusal, preemptive right, right of participation, or any similar right to participate in the transactions contemplated by the Transaction Documents. Except as a result of the purchase and sale of the Securities, there are no outstanding options, warrants, script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or any Subsidiary is or may become bound to issue additional shares of Common Stock or Common Stock Equivalents. The issuance and sale of the Securities will not obligate the Company to issue shares of Common Stock or other securities to any Person (other than the Purchasers) and will not result in a right of any holder of Company securities to adjust the exercise, conversion, exchange or reset price under such securities. All of the outstanding shares of capital stock of the Company are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the Board of Directors of the Company or others is required for the issuance and sale of the Securities. Other than the Rights Agreement, there are no stockholders agreements, voting agreements or other similar agreements with respect to the Company’s capital stock to which the Company is a party or, to the knowledge of the Company, between or among any of the Company’s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SEC Reports; Financial Statements</w:t>
      </w:r>
      <w:r w:rsidDel="00000000" w:rsidR="00000000" w:rsidRPr="00000000">
        <w:rPr>
          <w:rFonts w:ascii="Times New Roman" w:cs="Times New Roman" w:eastAsia="Times New Roman" w:hAnsi="Times New Roman"/>
          <w:sz w:val="20"/>
          <w:szCs w:val="20"/>
          <w:rtl w:val="0"/>
        </w:rPr>
        <w:t xml:space="preserve">. The Company has complied in all material respects with requirements to file all reports, schedules, forms, statements and other documents required to be filed by it under the Securities Act and the Exchange Act, including pursuant to Section 13(a) or 15(d) thereof, for the two years preceding the date hereof (or such shorter period as the Company was required by law to file such material) (the foregoing materials, including the exhibits thereto and documents incorporated by reference therein, being collectively referred to herein as the “</w:t>
      </w:r>
      <w:r w:rsidDel="00000000" w:rsidR="00000000" w:rsidRPr="00000000">
        <w:rPr>
          <w:rFonts w:ascii="Times New Roman" w:cs="Times New Roman" w:eastAsia="Times New Roman" w:hAnsi="Times New Roman"/>
          <w:sz w:val="20"/>
          <w:szCs w:val="20"/>
          <w:u w:val="single"/>
          <w:rtl w:val="0"/>
        </w:rPr>
        <w:t xml:space="preserve">SEC Reports</w:t>
      </w:r>
      <w:r w:rsidDel="00000000" w:rsidR="00000000" w:rsidRPr="00000000">
        <w:rPr>
          <w:rFonts w:ascii="Times New Roman" w:cs="Times New Roman" w:eastAsia="Times New Roman" w:hAnsi="Times New Roman"/>
          <w:sz w:val="20"/>
          <w:szCs w:val="20"/>
          <w:rtl w:val="0"/>
        </w:rPr>
        <w:t xml:space="preserve">”)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and the rules and regulations of the Commission promulgated thereunder,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w:t>
      </w:r>
      <w:r w:rsidDel="00000000" w:rsidR="00000000" w:rsidRPr="00000000">
        <w:rPr>
          <w:rFonts w:ascii="Times New Roman" w:cs="Times New Roman" w:eastAsia="Times New Roman" w:hAnsi="Times New Roman"/>
          <w:sz w:val="20"/>
          <w:szCs w:val="20"/>
          <w:u w:val="single"/>
          <w:rtl w:val="0"/>
        </w:rPr>
        <w:t xml:space="preserve">GAAP</w:t>
      </w:r>
      <w:r w:rsidDel="00000000" w:rsidR="00000000" w:rsidRPr="00000000">
        <w:rPr>
          <w:rFonts w:ascii="Times New Roman" w:cs="Times New Roman" w:eastAsia="Times New Roman" w:hAnsi="Times New Roman"/>
          <w:sz w:val="20"/>
          <w:szCs w:val="20"/>
          <w:rtl w:val="0"/>
        </w:rPr>
        <w:t xml:space="preserve">”),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Material Changes; Undisclosed Events, Liabilities or Developments</w:t>
      </w:r>
      <w:r w:rsidDel="00000000" w:rsidR="00000000" w:rsidRPr="00000000">
        <w:rPr>
          <w:rFonts w:ascii="Times New Roman" w:cs="Times New Roman" w:eastAsia="Times New Roman" w:hAnsi="Times New Roman"/>
          <w:sz w:val="20"/>
          <w:szCs w:val="20"/>
          <w:rtl w:val="0"/>
        </w:rPr>
        <w:t xml:space="preserve">. Since the date of the latest audited financial statements included within the SEC Reports, except as specifically disclosed in the SEC Reports,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required to be disclosed in filings made with the Commission, (iii) the Company has not altered its method of accounting, (iv) the Company has not declared or made any dividend or distribution of cash or other property to its stockholders or purchased, redeemed or made any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purchase or redeem any shares of its capital stock and (v) the Company has not issued any equity securities to any officer, director or “</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(defined as any Person that, directly or indirectly through one or more intermediaries, controls or is controlled by or is under common control with a Person, as such terms are used in and construed under Rule 144 under the Securities Act), except pursuant to existing Company stock option plans. The Company does not have pending before the Commission any request for confidential treatment of information. Except for the issuance of the Securities contemplated by this Agreement or as set forth on Schedule 3(H), no event, liability or development has occurred or exists with respect to the Company or its Subsidiaries or their respective business, properties, operations or financial condition, that would be required to be disclosed by the Company under applicable securities laws at the time this representation is made that has not been publicly disclosed 1 Trading Day prior to the date that this representation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w:t>
      </w:r>
      <w:r w:rsidDel="00000000" w:rsidR="00000000" w:rsidRPr="00000000">
        <w:rPr>
          <w:rFonts w:ascii="Times New Roman" w:cs="Times New Roman" w:eastAsia="Times New Roman" w:hAnsi="Times New Roman"/>
          <w:sz w:val="20"/>
          <w:szCs w:val="20"/>
          <w:u w:val="single"/>
          <w:rtl w:val="0"/>
        </w:rPr>
        <w:t xml:space="preserve">Action</w:t>
      </w:r>
      <w:r w:rsidDel="00000000" w:rsidR="00000000" w:rsidRPr="00000000">
        <w:rPr>
          <w:rFonts w:ascii="Times New Roman" w:cs="Times New Roman" w:eastAsia="Times New Roman" w:hAnsi="Times New Roman"/>
          <w:sz w:val="20"/>
          <w:szCs w:val="20"/>
          <w:rtl w:val="0"/>
        </w:rPr>
        <w:t xml:space="preserve">”) which (i) adversely affects or challenges the legality, validity or enforceability of any of the Transaction Documents or the Securities or (ii) could, if there were an unfavorable decision, have or reasonably be expected to result in a Material Adverse Effect.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 None of the Company’s or its Subsidiaries’ employees is a member of a union that relates to such employee’s relationship with the Company, and neither the Company or any of its Subsidiaries is a party to a collective bargaining agreement, and the Company and its Subsidiaries believe that their relationships with their employees are good. No executive officer, to the knowledge of the Company, is, or is now expected to be, in violation of any material term of any employment contract, confidentiality, disclosure or proprietary information agreement or non-competition agreement, or any other contract or agreement or any restrictive covenant,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sz w:val="20"/>
          <w:szCs w:val="20"/>
          <w:u w:val="single"/>
          <w:rtl w:val="0"/>
        </w:rPr>
        <w:t xml:space="preserve">Labor Relations</w:t>
      </w:r>
      <w:r w:rsidDel="00000000" w:rsidR="00000000" w:rsidRPr="00000000">
        <w:rPr>
          <w:rFonts w:ascii="Times New Roman" w:cs="Times New Roman" w:eastAsia="Times New Roman" w:hAnsi="Times New Roman"/>
          <w:sz w:val="20"/>
          <w:szCs w:val="20"/>
          <w:rtl w:val="0"/>
        </w:rPr>
        <w:t xml:space="preserve">. No material labor dispute exists or, to the knowledge of the Company, is imminent with respect to any of the employees of the Company which could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t>
      </w:r>
      <w:r w:rsidDel="00000000" w:rsidR="00000000" w:rsidRPr="00000000">
        <w:rPr>
          <w:rFonts w:ascii="Times New Roman" w:cs="Times New Roman" w:eastAsia="Times New Roman" w:hAnsi="Times New Roman"/>
          <w:sz w:val="20"/>
          <w:szCs w:val="20"/>
          <w:u w:val="single"/>
          <w:rtl w:val="0"/>
        </w:rPr>
        <w:t xml:space="preserve">Compliance</w:t>
      </w:r>
      <w:r w:rsidDel="00000000" w:rsidR="00000000" w:rsidRPr="00000000">
        <w:rPr>
          <w:rFonts w:ascii="Times New Roman" w:cs="Times New Roman" w:eastAsia="Times New Roman" w:hAnsi="Times New Roman"/>
          <w:sz w:val="20"/>
          <w:szCs w:val="20"/>
          <w:rtl w:val="0"/>
        </w:rPr>
        <w:t xml:space="preserve">.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order of any court, arbitrator or governmental body, or (iii) is or has been in violation of any statute, rule or regulation of any governmental authority, including without limitation all foreign, federal, state and local laws applicable to its business and all such laws that affect the environment, except in each case as could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w:t>
      </w:r>
      <w:r w:rsidDel="00000000" w:rsidR="00000000" w:rsidRPr="00000000">
        <w:rPr>
          <w:rFonts w:ascii="Times New Roman" w:cs="Times New Roman" w:eastAsia="Times New Roman" w:hAnsi="Times New Roman"/>
          <w:sz w:val="20"/>
          <w:szCs w:val="20"/>
          <w:u w:val="single"/>
          <w:rtl w:val="0"/>
        </w:rPr>
        <w:t xml:space="preserve">Regulatory Permits</w:t>
      </w:r>
      <w:r w:rsidDel="00000000" w:rsidR="00000000" w:rsidRPr="00000000">
        <w:rPr>
          <w:rFonts w:ascii="Times New Roman" w:cs="Times New Roman" w:eastAsia="Times New Roman" w:hAnsi="Times New Roman"/>
          <w:sz w:val="20"/>
          <w:szCs w:val="20"/>
          <w:rtl w:val="0"/>
        </w:rPr>
        <w:t xml:space="preserve">. The Company and the Subsidiaries possess all certificates, authorizations and permits issued by the appropriate federal, state, local or foreign regulatory authorities necessary to conduct their respective businesses as described in the SEC Reports, except where the failure to possess such permits could not have or reasonably be expected to result in a Material Adverse Effect (“</w:t>
      </w:r>
      <w:r w:rsidDel="00000000" w:rsidR="00000000" w:rsidRPr="00000000">
        <w:rPr>
          <w:rFonts w:ascii="Times New Roman" w:cs="Times New Roman" w:eastAsia="Times New Roman" w:hAnsi="Times New Roman"/>
          <w:sz w:val="20"/>
          <w:szCs w:val="20"/>
          <w:u w:val="single"/>
          <w:rtl w:val="0"/>
        </w:rPr>
        <w:t xml:space="preserve">Material Permits</w:t>
      </w:r>
      <w:r w:rsidDel="00000000" w:rsidR="00000000" w:rsidRPr="00000000">
        <w:rPr>
          <w:rFonts w:ascii="Times New Roman" w:cs="Times New Roman" w:eastAsia="Times New Roman" w:hAnsi="Times New Roman"/>
          <w:sz w:val="20"/>
          <w:szCs w:val="20"/>
          <w:rtl w:val="0"/>
        </w:rPr>
        <w:t xml:space="preserve">”), and neither the Company nor any Subsidiary has received any notice of proceedings relating to the revocation or modification of any Material Permit. For clarity, the Company has not received the approval of any regulatory agency to market any of its product candidates.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w:t>
      </w:r>
      <w:r w:rsidDel="00000000" w:rsidR="00000000" w:rsidRPr="00000000">
        <w:rPr>
          <w:rFonts w:ascii="Times New Roman" w:cs="Times New Roman" w:eastAsia="Times New Roman" w:hAnsi="Times New Roman"/>
          <w:sz w:val="20"/>
          <w:szCs w:val="20"/>
          <w:u w:val="single"/>
          <w:rtl w:val="0"/>
        </w:rPr>
        <w:t xml:space="preserve">Title to Assets</w:t>
      </w:r>
      <w:r w:rsidDel="00000000" w:rsidR="00000000" w:rsidRPr="00000000">
        <w:rPr>
          <w:rFonts w:ascii="Times New Roman" w:cs="Times New Roman" w:eastAsia="Times New Roman" w:hAnsi="Times New Roman"/>
          <w:sz w:val="20"/>
          <w:szCs w:val="20"/>
          <w:rtl w:val="0"/>
        </w:rPr>
        <w:t xml:space="preserve">. The Company and the Subsidiaries have good and marketable title in fee simple to all real property owned by them that is material to the business of the Company and the Subsidiaries and good and marketable title in all personal property owned by them that is material to the business of the Company and the Subsidiaries, in each case free and clear of all Liens, except for Liens as do not materially affect the value of such property and do not materially interfere with the use made and proposed to be made of such property by the Company and the Subsidiaries and Liens for the payment of federal, state or other taxes, the payment of which is neither delinquent nor subject to penalties. Any real property and facilities held under lease by the Company and the Subsidiaries are held by them under valid, subsisting and enforceable leases of which the Company and the Subsidiaries are in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w:t>
      </w:r>
      <w:r w:rsidDel="00000000" w:rsidR="00000000" w:rsidRPr="00000000">
        <w:rPr>
          <w:rFonts w:ascii="Times New Roman" w:cs="Times New Roman" w:eastAsia="Times New Roman" w:hAnsi="Times New Roman"/>
          <w:sz w:val="20"/>
          <w:szCs w:val="20"/>
          <w:u w:val="single"/>
          <w:rtl w:val="0"/>
        </w:rPr>
        <w:t xml:space="preserve">Patents and Trademarks</w:t>
      </w:r>
      <w:r w:rsidDel="00000000" w:rsidR="00000000" w:rsidRPr="00000000">
        <w:rPr>
          <w:rFonts w:ascii="Times New Roman" w:cs="Times New Roman" w:eastAsia="Times New Roman" w:hAnsi="Times New Roman"/>
          <w:sz w:val="20"/>
          <w:szCs w:val="20"/>
          <w:rtl w:val="0"/>
        </w:rPr>
        <w:t xml:space="preserve">. The Company and the Subsidiaries have, or have rights to use, all patents, patent applications, trademarks, trademark applications, service marks, trade names, trade secrets, inventions, copyrights, licenses and other similar intellectual property rights necessary or material for use in connection with their respective businesses as described in the SEC Reports and which the failure to so have could have a Material Adverse Effect (collectively, the “</w:t>
      </w:r>
      <w:r w:rsidDel="00000000" w:rsidR="00000000" w:rsidRPr="00000000">
        <w:rPr>
          <w:rFonts w:ascii="Times New Roman" w:cs="Times New Roman" w:eastAsia="Times New Roman" w:hAnsi="Times New Roman"/>
          <w:sz w:val="20"/>
          <w:szCs w:val="20"/>
          <w:u w:val="single"/>
          <w:rtl w:val="0"/>
        </w:rPr>
        <w:t xml:space="preserve">Intellectual Property Rights</w:t>
      </w:r>
      <w:r w:rsidDel="00000000" w:rsidR="00000000" w:rsidRPr="00000000">
        <w:rPr>
          <w:rFonts w:ascii="Times New Roman" w:cs="Times New Roman" w:eastAsia="Times New Roman" w:hAnsi="Times New Roman"/>
          <w:sz w:val="20"/>
          <w:szCs w:val="20"/>
          <w:rtl w:val="0"/>
        </w:rPr>
        <w:t xml:space="preserve">”). Neither the Company nor any Subsidiary has received a notice (written or otherwise) that the Intellectual Property Rights used by the Company or any Subsidiary violates or infringes upon the rights of any Person. To the knowledge of the Company, all such Intellectual Property Rights are enforceable (other than patent and trademark applications) and there is no existing infringement by another Person of any of the Intellectual Property Rights of others. The Company and its Subsidiaries have taken reasonable security measures to protect the secrecy, confidentiality and value of all of their intellectual properties, except where failure to do so could not, individually or in the aggregate,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The Company and the Subsidiaries are insured by insurers of recognized financial responsibility against such losses and risks and in such amounts as are prudent and customary in the businesses in which the Company and the Subsidiaries are engaged, including, but not limited to, directors and officers insurance coverage at least equal to the aggregate subscription amount under the Transaction Documents. To the knowledge of the Company, such insurance contracts and policies are accurate and complete.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w:t>
      </w:r>
      <w:r w:rsidDel="00000000" w:rsidR="00000000" w:rsidRPr="00000000">
        <w:rPr>
          <w:rFonts w:ascii="Times New Roman" w:cs="Times New Roman" w:eastAsia="Times New Roman" w:hAnsi="Times New Roman"/>
          <w:sz w:val="20"/>
          <w:szCs w:val="20"/>
          <w:u w:val="single"/>
          <w:rtl w:val="0"/>
        </w:rPr>
        <w:t xml:space="preserve">Transactions With Affiliates and Employees</w:t>
      </w:r>
      <w:r w:rsidDel="00000000" w:rsidR="00000000" w:rsidRPr="00000000">
        <w:rPr>
          <w:rFonts w:ascii="Times New Roman" w:cs="Times New Roman" w:eastAsia="Times New Roman" w:hAnsi="Times New Roman"/>
          <w:sz w:val="20"/>
          <w:szCs w:val="20"/>
          <w:rtl w:val="0"/>
        </w:rPr>
        <w:t xml:space="preserve">. Except as set forth in the SEC Reports, none of the officers or directors of the Company and, to the knowledge of the Company, none of the employees of the Company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entity in which any officer, director, or any such employee has a substantial interest or is an officer, director, trustee or partner, other than (i) for payment of salary or consulting fees for services rendered, (ii) reimbursement for expenses incurred on behalf of the Company and (iii) for other employee benefits, including stock option agreements under any stock option plan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w:t>
      </w:r>
      <w:r w:rsidDel="00000000" w:rsidR="00000000" w:rsidRPr="00000000">
        <w:rPr>
          <w:rFonts w:ascii="Times New Roman" w:cs="Times New Roman" w:eastAsia="Times New Roman" w:hAnsi="Times New Roman"/>
          <w:sz w:val="20"/>
          <w:szCs w:val="20"/>
          <w:u w:val="single"/>
          <w:rtl w:val="0"/>
        </w:rPr>
        <w:t xml:space="preserve">Sarbanes-Oxley</w:t>
      </w:r>
      <w:r w:rsidDel="00000000" w:rsidR="00000000" w:rsidRPr="00000000">
        <w:rPr>
          <w:rFonts w:ascii="Times New Roman" w:cs="Times New Roman" w:eastAsia="Times New Roman" w:hAnsi="Times New Roman"/>
          <w:sz w:val="20"/>
          <w:szCs w:val="20"/>
          <w:rtl w:val="0"/>
        </w:rPr>
        <w:t xml:space="preserve">. Except as disclosed in the SEC Reports or the Registration Statement, the Company is in material compliance with all provisions of the Sarbanes-Oxley Act of 2002 which are applicable to it as of the date hereof and of the closing date of the Placement.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w:t>
      </w:r>
      <w:r w:rsidDel="00000000" w:rsidR="00000000" w:rsidRPr="00000000">
        <w:rPr>
          <w:rFonts w:ascii="Times New Roman" w:cs="Times New Roman" w:eastAsia="Times New Roman" w:hAnsi="Times New Roman"/>
          <w:sz w:val="20"/>
          <w:szCs w:val="20"/>
          <w:u w:val="single"/>
          <w:rtl w:val="0"/>
        </w:rPr>
        <w:t xml:space="preserve">Certain Fees</w:t>
      </w:r>
      <w:r w:rsidDel="00000000" w:rsidR="00000000" w:rsidRPr="00000000">
        <w:rPr>
          <w:rFonts w:ascii="Times New Roman" w:cs="Times New Roman" w:eastAsia="Times New Roman" w:hAnsi="Times New Roman"/>
          <w:sz w:val="20"/>
          <w:szCs w:val="20"/>
          <w:rtl w:val="0"/>
        </w:rPr>
        <w:t xml:space="preserve">. Except as otherwise provided in this Agreement, no brokerage or finder’s fees or commissions are or will be payable by the Company to any broker, financial advisor or consultant, finder, placement agent, investment banker, bank or other Person with respect to the transactions contemplated by the Transaction Documents. The Purchasers shall have no obligation with respect to any fees or with respect to any claims made by or on behalf of other Persons for fees of a type contemplated in this Section that may be due in connection with the transactions contemplated by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w:t>
      </w:r>
      <w:r w:rsidDel="00000000" w:rsidR="00000000" w:rsidRPr="00000000">
        <w:rPr>
          <w:rFonts w:ascii="Times New Roman" w:cs="Times New Roman" w:eastAsia="Times New Roman" w:hAnsi="Times New Roman"/>
          <w:sz w:val="20"/>
          <w:szCs w:val="20"/>
          <w:u w:val="single"/>
          <w:rtl w:val="0"/>
        </w:rPr>
        <w:t xml:space="preserve">Trading Market Rules</w:t>
      </w:r>
      <w:r w:rsidDel="00000000" w:rsidR="00000000" w:rsidRPr="00000000">
        <w:rPr>
          <w:rFonts w:ascii="Times New Roman" w:cs="Times New Roman" w:eastAsia="Times New Roman" w:hAnsi="Times New Roman"/>
          <w:sz w:val="20"/>
          <w:szCs w:val="20"/>
          <w:rtl w:val="0"/>
        </w:rPr>
        <w:t xml:space="preserve">. The issuance and sale of the Securities hereunder does not contravene the rules and regulations of the Trading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w:t>
      </w:r>
      <w:r w:rsidDel="00000000" w:rsidR="00000000" w:rsidRPr="00000000">
        <w:rPr>
          <w:rFonts w:ascii="Times New Roman" w:cs="Times New Roman" w:eastAsia="Times New Roman" w:hAnsi="Times New Roman"/>
          <w:sz w:val="20"/>
          <w:szCs w:val="20"/>
          <w:u w:val="single"/>
          <w:rtl w:val="0"/>
        </w:rPr>
        <w:t xml:space="preserve">Investment Company</w:t>
      </w:r>
      <w:r w:rsidDel="00000000" w:rsidR="00000000" w:rsidRPr="00000000">
        <w:rPr>
          <w:rFonts w:ascii="Times New Roman" w:cs="Times New Roman" w:eastAsia="Times New Roman" w:hAnsi="Times New Roman"/>
          <w:sz w:val="20"/>
          <w:szCs w:val="20"/>
          <w:rtl w:val="0"/>
        </w:rPr>
        <w:t xml:space="preserve">.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subject to the Investment Company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w:t>
      </w:r>
      <w:r w:rsidDel="00000000" w:rsidR="00000000" w:rsidRPr="00000000">
        <w:rPr>
          <w:rFonts w:ascii="Times New Roman" w:cs="Times New Roman" w:eastAsia="Times New Roman" w:hAnsi="Times New Roman"/>
          <w:sz w:val="20"/>
          <w:szCs w:val="20"/>
          <w:u w:val="single"/>
          <w:rtl w:val="0"/>
        </w:rPr>
        <w:t xml:space="preserve">Registration Rights</w:t>
      </w:r>
      <w:r w:rsidDel="00000000" w:rsidR="00000000" w:rsidRPr="00000000">
        <w:rPr>
          <w:rFonts w:ascii="Times New Roman" w:cs="Times New Roman" w:eastAsia="Times New Roman" w:hAnsi="Times New Roman"/>
          <w:sz w:val="20"/>
          <w:szCs w:val="20"/>
          <w:rtl w:val="0"/>
        </w:rPr>
        <w:t xml:space="preserve">. No Person has any right to cause the Company to effect the registration under the Securities Act of any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w:t>
      </w:r>
      <w:r w:rsidDel="00000000" w:rsidR="00000000" w:rsidRPr="00000000">
        <w:rPr>
          <w:rFonts w:ascii="Times New Roman" w:cs="Times New Roman" w:eastAsia="Times New Roman" w:hAnsi="Times New Roman"/>
          <w:sz w:val="20"/>
          <w:szCs w:val="20"/>
          <w:u w:val="single"/>
          <w:rtl w:val="0"/>
        </w:rPr>
        <w:t xml:space="preserve">Listing and Maintenance Requirements</w:t>
      </w:r>
      <w:r w:rsidDel="00000000" w:rsidR="00000000" w:rsidRPr="00000000">
        <w:rPr>
          <w:rFonts w:ascii="Times New Roman" w:cs="Times New Roman" w:eastAsia="Times New Roman" w:hAnsi="Times New Roman"/>
          <w:sz w:val="20"/>
          <w:szCs w:val="20"/>
          <w:rtl w:val="0"/>
        </w:rPr>
        <w:t xml:space="preserve">. The Company’s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Commission is contemplating terminating such registration. Except as set forth in Schedule 3(V), the Company has not, in the 12 months preceding the date hereof, received notice from any Trading Market on which the Common Stock is or has been listed or quoted to the effect that the Company is not in compliance with the listing or maintenance requirements of such Trading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 </w:t>
      </w:r>
      <w:r w:rsidDel="00000000" w:rsidR="00000000" w:rsidRPr="00000000">
        <w:rPr>
          <w:rFonts w:ascii="Times New Roman" w:cs="Times New Roman" w:eastAsia="Times New Roman" w:hAnsi="Times New Roman"/>
          <w:sz w:val="20"/>
          <w:szCs w:val="20"/>
          <w:u w:val="single"/>
          <w:rtl w:val="0"/>
        </w:rPr>
        <w:t xml:space="preserve">Application of Takeover Protections</w:t>
      </w:r>
      <w:r w:rsidDel="00000000" w:rsidR="00000000" w:rsidRPr="00000000">
        <w:rPr>
          <w:rFonts w:ascii="Times New Roman" w:cs="Times New Roman" w:eastAsia="Times New Roman" w:hAnsi="Times New Roman"/>
          <w:sz w:val="20"/>
          <w:szCs w:val="20"/>
          <w:rtl w:val="0"/>
        </w:rPr>
        <w:t xml:space="preserve">. Except as set forth in the Registration Statement, the Company and its Board of Directors have taken all necessary action, if any, in order to render inapplicable any control share acquisition, business combination, poison pill (including any distribution under a rights agreement) or other similar anti-takeover provision under the Company’s Certificate of Incorporation (or similar charter documents) or the laws of its state of incorporation that is or could become applicable to the Purchasers as a result of the Purchasers and the Company fulfilling their obligations or exercising their rights under the Transaction Documents, including without limitation as a result of the Company’s issuance of the Securities and the Purchasers’ ownership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w:t>
      </w:r>
      <w:r w:rsidDel="00000000" w:rsidR="00000000" w:rsidRPr="00000000">
        <w:rPr>
          <w:rFonts w:ascii="Times New Roman" w:cs="Times New Roman" w:eastAsia="Times New Roman" w:hAnsi="Times New Roman"/>
          <w:sz w:val="20"/>
          <w:szCs w:val="20"/>
          <w:u w:val="single"/>
          <w:rtl w:val="0"/>
        </w:rPr>
        <w:t xml:space="preserve">Solvency</w:t>
      </w:r>
      <w:r w:rsidDel="00000000" w:rsidR="00000000" w:rsidRPr="00000000">
        <w:rPr>
          <w:rFonts w:ascii="Times New Roman" w:cs="Times New Roman" w:eastAsia="Times New Roman" w:hAnsi="Times New Roman"/>
          <w:sz w:val="20"/>
          <w:szCs w:val="20"/>
          <w:rtl w:val="0"/>
        </w:rPr>
        <w:t xml:space="preserve">. Based on the financial condition of the Company as of the Closing Date after giving effect to the receipt by the Company of the proceeds from the sale of the Securities hereunder, (i) the Company’s fair saleable value of its assets exceeds the amount that will be required to be paid on or in respect of the Company’s existing debts and other liabilities (including known contingent liabilities) as they mature and (ii) the current cash flow of the Company, together with the proceeds the Company would receive, were it to liquidate all of its assets, after taking into account all anticipated uses of the cash, would be sufficient to pay all amounts on or in respect of its debt when such amounts are required to be paid. The Company does not intend to incur debts beyond its ability to pay such debts as they mature (taking into account the timing and amounts of cash to be payable on or in respect of its debt). The SEC Reports set forth as of the dates thereof all outstanding secured and unsecured Indebtedness of the Company or any Subsidiary, or for which the Company or any Subsidiary has commitments. For the purposes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w:t>
      </w:r>
      <w:r w:rsidDel="00000000" w:rsidR="00000000" w:rsidRPr="00000000">
        <w:rPr>
          <w:rFonts w:ascii="Times New Roman" w:cs="Times New Roman" w:eastAsia="Times New Roman" w:hAnsi="Times New Roman"/>
          <w:sz w:val="20"/>
          <w:szCs w:val="20"/>
          <w:u w:val="single"/>
          <w:rtl w:val="0"/>
        </w:rPr>
        <w:t xml:space="preserve">Indebtedness</w:t>
      </w:r>
      <w:r w:rsidDel="00000000" w:rsidR="00000000" w:rsidRPr="00000000">
        <w:rPr>
          <w:rFonts w:ascii="Times New Roman" w:cs="Times New Roman" w:eastAsia="Times New Roman" w:hAnsi="Times New Roman"/>
          <w:sz w:val="20"/>
          <w:szCs w:val="20"/>
          <w:rtl w:val="0"/>
        </w:rPr>
        <w:t xml:space="preserve">” shall mean (a) any liabilities for borrowed money or amounts owed in excess of $50,000 (other than trade accounts payable incurred in the ordinary course of business), (b) all guaranties, endorsements and other contingent obligations in respect of Indebtedness of others, whether or not the same are or should be reflected in the Company’s balance sheet (or the notes thereto), except guaranties by endorsement of negotiable instruments for deposit or collection or similar transactions in the ordinary course of business; and (c) the present value of any lease payments in excess of $50,000 due under leases required to be capitalized in accordance with GAAP. Neither the Company nor any Subsidiary is in default with respect to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u w:val="single"/>
          <w:rtl w:val="0"/>
        </w:rPr>
        <w:t xml:space="preserve">Tax Status</w:t>
      </w:r>
      <w:r w:rsidDel="00000000" w:rsidR="00000000" w:rsidRPr="00000000">
        <w:rPr>
          <w:rFonts w:ascii="Times New Roman" w:cs="Times New Roman" w:eastAsia="Times New Roman" w:hAnsi="Times New Roman"/>
          <w:sz w:val="20"/>
          <w:szCs w:val="20"/>
          <w:rtl w:val="0"/>
        </w:rPr>
        <w:t xml:space="preserve">. Except for matters that would not, individually or in the aggregate, have or reasonably be expected to result in a Material Adverse Effect, the Company and each Subsidiary has filed all necessary federal, state and foreign income and franchise tax returns and has paid or accrued all taxes shown as due thereon, and the Company has no knowledge of a tax deficiency which has been asserted or threatened against the Company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(Z) </w:t>
      </w:r>
      <w:r w:rsidDel="00000000" w:rsidR="00000000" w:rsidRPr="00000000">
        <w:rPr>
          <w:rFonts w:ascii="Times New Roman" w:cs="Times New Roman" w:eastAsia="Times New Roman" w:hAnsi="Times New Roman"/>
          <w:sz w:val="20"/>
          <w:szCs w:val="20"/>
          <w:u w:val="single"/>
          <w:rtl w:val="0"/>
        </w:rPr>
        <w:t xml:space="preserve">Foreign Corrupt Practices</w:t>
      </w:r>
      <w:r w:rsidDel="00000000" w:rsidR="00000000" w:rsidRPr="00000000">
        <w:rPr>
          <w:rFonts w:ascii="Times New Roman" w:cs="Times New Roman" w:eastAsia="Times New Roman" w:hAnsi="Times New Roman"/>
          <w:sz w:val="20"/>
          <w:szCs w:val="20"/>
          <w:rtl w:val="0"/>
        </w:rPr>
        <w:t xml:space="preserve">. Neither the Company, nor to the knowledge of the Company, any agent or other person acting on behalf of the Company,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made by any person acting on its behalf of which the Company is aware) which is in violation of law, or (iv) violated in any material respect any provision of the Foreign Corrupt Practices Act of 1977,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(AA) </w:t>
      </w:r>
      <w:r w:rsidDel="00000000" w:rsidR="00000000" w:rsidRPr="00000000">
        <w:rPr>
          <w:rFonts w:ascii="Times New Roman" w:cs="Times New Roman" w:eastAsia="Times New Roman" w:hAnsi="Times New Roman"/>
          <w:sz w:val="20"/>
          <w:szCs w:val="20"/>
          <w:u w:val="single"/>
          <w:rtl w:val="0"/>
        </w:rPr>
        <w:t xml:space="preserve">Accountants</w:t>
      </w:r>
      <w:r w:rsidDel="00000000" w:rsidR="00000000" w:rsidRPr="00000000">
        <w:rPr>
          <w:rFonts w:ascii="Times New Roman" w:cs="Times New Roman" w:eastAsia="Times New Roman" w:hAnsi="Times New Roman"/>
          <w:sz w:val="20"/>
          <w:szCs w:val="20"/>
          <w:rtl w:val="0"/>
        </w:rPr>
        <w:t xml:space="preserve">. The Company’s accountants are set forth on Schedule 3(AA) of the Disclosure Schedule. To the knowledge of the Company, such accountants, who the Company expects will express their opinion with respect to the financial statements to be included in the Company’s next Annual Report on Form 10-K, are a registered public accounting firm as required by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(BB) </w:t>
      </w:r>
      <w:r w:rsidDel="00000000" w:rsidR="00000000" w:rsidRPr="00000000">
        <w:rPr>
          <w:rFonts w:ascii="Times New Roman" w:cs="Times New Roman" w:eastAsia="Times New Roman" w:hAnsi="Times New Roman"/>
          <w:sz w:val="20"/>
          <w:szCs w:val="20"/>
          <w:u w:val="single"/>
          <w:rtl w:val="0"/>
        </w:rPr>
        <w:t xml:space="preserve">Regulation M Compliance</w:t>
      </w:r>
      <w:r w:rsidDel="00000000" w:rsidR="00000000" w:rsidRPr="00000000">
        <w:rPr>
          <w:rFonts w:ascii="Times New Roman" w:cs="Times New Roman" w:eastAsia="Times New Roman" w:hAnsi="Times New Roman"/>
          <w:sz w:val="20"/>
          <w:szCs w:val="20"/>
          <w:rtl w:val="0"/>
        </w:rPr>
        <w:t xml:space="preserve">. The Company has not, and to its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(other than for the placement agent’s placement of the Securities), or (iii) paid or agreed to pay to any person any compensation for soliciting another to purchase any other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 </w:t>
      </w:r>
      <w:r w:rsidDel="00000000" w:rsidR="00000000" w:rsidRPr="00000000">
        <w:rPr>
          <w:rFonts w:ascii="Times New Roman" w:cs="Times New Roman" w:eastAsia="Times New Roman" w:hAnsi="Times New Roman"/>
          <w:sz w:val="20"/>
          <w:szCs w:val="20"/>
          <w:u w:val="single"/>
          <w:rtl w:val="0"/>
        </w:rPr>
        <w:t xml:space="preserve">Approvals</w:t>
      </w:r>
      <w:r w:rsidDel="00000000" w:rsidR="00000000" w:rsidRPr="00000000">
        <w:rPr>
          <w:rFonts w:ascii="Times New Roman" w:cs="Times New Roman" w:eastAsia="Times New Roman" w:hAnsi="Times New Roman"/>
          <w:sz w:val="20"/>
          <w:szCs w:val="20"/>
          <w:rtl w:val="0"/>
        </w:rPr>
        <w:t xml:space="preserve">. The issuance and listing on the AMEX of the Shares requires no further approvals, including but not limited to, the approval of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(DD) </w:t>
      </w:r>
      <w:r w:rsidDel="00000000" w:rsidR="00000000" w:rsidRPr="00000000">
        <w:rPr>
          <w:rFonts w:ascii="Times New Roman" w:cs="Times New Roman" w:eastAsia="Times New Roman" w:hAnsi="Times New Roman"/>
          <w:sz w:val="20"/>
          <w:szCs w:val="20"/>
          <w:u w:val="single"/>
          <w:rtl w:val="0"/>
        </w:rPr>
        <w:t xml:space="preserve">FINRA Affiliations</w:t>
      </w:r>
      <w:r w:rsidDel="00000000" w:rsidR="00000000" w:rsidRPr="00000000">
        <w:rPr>
          <w:rFonts w:ascii="Times New Roman" w:cs="Times New Roman" w:eastAsia="Times New Roman" w:hAnsi="Times New Roman"/>
          <w:sz w:val="20"/>
          <w:szCs w:val="20"/>
          <w:rtl w:val="0"/>
        </w:rPr>
        <w:t xml:space="preserve">. There are no affiliations with any FINRA member firm among the Company’s officers, directors or, to the knowledge of the Company, any five percent (5%) or greater stockholder of the Company, except as set forth in the Base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The obligations of the Placement Agent and the Purchasers, and the closing of the sale of the Securities hereunder are subject to the accuracy, when made and on the Closing Date, of the representations and warranties on the part of the Company and its Subsidiaries contained herein, to the accuracy of the statements of the Company and its Subsidiaries made in any certificates pursuant to the provisions hereof, to the performance by the Company and its Subsidiaries of their obligations hereunder, and to each of the following additional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 stop order suspending the effectiveness of the Registration Statement shall have been issued and no proceedings for that purpose shall have been initiated or threatened by the Commission, and any request for additional information on the part of the Commission (to be included in the Registration Statement, the Base Prospectus or the Prospectus Supplement or otherwise) shall have been complied with to the reasonable satisfaction of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Placement Agent shall not have discovered and disclosed to the Company on or prior to the Closing Date that the Registration Statement, the Base Prospectus or the Prospectus Supplement or any amendment or supplement thereto contains an untrue statement of a fact which, in the opinion of counsel for the Placement Agent, is material or omits to state any fact which, in the opinion of such counsel, is material and is required to be stated therein or is necessary to make the statements therein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corporate proceedings and other legal matters incident to the authorization, form, execution, delivery and validity of each of this Agreement, the Securities, the Registration Statement, the Base Prospectus and the Prospectus Supplement and all other legal matters relating to this Agreement and the transactions contemplated hereby shall be reasonably satisfactory in all material respects to counsel for the Placement Agent, and the Company shall have furnished to such counsel all documents and information that they may reasonably request to enable them to pass upon such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Placement Agent shall have received from outside counsel to the Company such counsel’s written opinion, addressed to the Placement Agent and the Purchasers dated as of the Closing Date, in form and substance reasonably satisfactory to the Placement Agent, which opinion shall include a “10b-5” representation from such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Neither the Company nor any of its Subsidiaries shall have sustained since the date of the latest audited financial statements included or incorporated by reference in the Base Prospectus, any loss or interference with its business from fire, explosion, flood, terrorist act or other calamity, whether or not covered by insurance, or from any labor dispute or court or governmental action, order or decree, otherwise than as set forth in or contemplated by the Base Prospectus and (ii) since such date there shall not have been any change in the capital stock or long-term debt of the Company or any of its Subsidiaries or any change, or any development involving a prospective change, in or affecting the business, general affairs, management, financial position, stockholders’ equity, results of operations or prospects of the Company and its Subsidiaries, otherwise than as set forth in or contemplated by the Base Prospectus, the effect of which, in any such case described in clause (i) or (ii), is, in the judgment of the Placement Agent, so material and adverse as to make it impracticable or inadvisable to proceed with the sale or delivery of the Securities on the terms and in the manner contemplated by the Base Prospectus, the Time of Sale Prospectus, if any, and the Prospectus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Common Stock is registered under the Exchange Act and, as of the Closing Date, the Shares shall be listed and admitted and authorized for trading on AMEX, and satisfactory evidence of such actions shall have been provided to the Placement Agent. The Company shall have taken no action designed to, or likely to have the effect of terminating the registration of the Common Stock under the Exchange Act or delisting or suspending from trading the Common Stock from AMEX, nor has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received any information suggesting that the Commission or AMEX is contemplating terminating such registration or listing.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Subsequent to the execution and delivery of this Agreement, there shall not have occurred any of the following: (i) trading in securities generally on the New York Stock Exchange, the Nasdaq National Market or the NYSE Alternext US or in the over-the-counter market, or trading in any securities of the Company on any exchange or in the over-the-counter market, shall have been suspended or minimum or maximum prices or maximum ranges for prices shall have been established on any such exchange or such market by the Commission, by such exchange or by any other regulatory body or governmental authority having jurisdiction, (ii) a banking moratorium shall have been declared by federal or state authorities or a material disruption has occurred in commercial banking or securities settlement or clearance services in the United States, (iii) the United States shall have become engaged in hostilities in which it is not currently engaged, the subject of an act of terrorism, there shall have been an escalation in hostilities involving the United States, or there shall have been a declaration of a national emergency or war by the United States, or (iv) there shall have occurred any other calamity or crisis or any change in general economic, political or financial conditions in the United States or elsewhere, if the effect of any such event in clause (iii) or (iv) makes it, in the sole judgment of the Placement Agent, impracticable or inadvisable to proceed with the sale or delivery of the Securities on the terms and in the manner contemplated by the Base Prospectus and the Prospectus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 action shall have been taken and no statute, rule, regulation or order shall have been enacted, adopted or issued by any governmental agency or body which would, as of the Closing Date, prevent the issuance or sale of the Securities or materially and adversely affect or potentially and adversely affect the business or operations of the Company; and no injunction, restraining order or order of any other nature by any federal or state court of competent jurisdiction shall have been issued as of the Closing Date which would prevent the issuance or sale of the Securities or materially and adversely affect or potentially and adversely affect the business or operations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shall have prepared and filed with the Commission a Current Report on Form 8-K with respect to the Placement, including as an exhibit thereto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The Company shall have entered into subscription agreements with each of the Purchasers and such agreements shall be in full force and effect and shall contain representations and warranties of the Company as agreed between the Company and the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FINRA shall have raised no objection to the fairness and reasonableness of the terms and arrangements of this Agreement. In addition, the Company shall, if requested by the Placement Agent, make or authorize Placement Agent’s counsel to make on the Company’s behalf, an Issuer Filing with FINRA pursuant to FINRA Rule 5110 with respect to the Registration Statement and pay all filing fees required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Prior to the Closing Date, the Company shall have furnished to the Placement Agent such further information, certificates and documents as the Placement Agent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opinions, letters, evidence and certificates mentioned above or elsewhere in this Agreement shall be deemed to be in compliance with the provisions hereof only if they are in form and substance reasonably satisfactory to counsel for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