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Exhibit 99.2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w:cs="Times" w:eastAsia="Times" w:hAnsi="Times"/>
          <w:sz w:val="20"/>
          <w:szCs w:val="20"/>
        </w:rPr>
      </w:pPr>
      <w:r w:rsidDel="00000000" w:rsidR="00000000" w:rsidRPr="00000000">
        <w:rPr>
          <w:rFonts w:ascii="Times" w:cs="Times" w:eastAsia="Times" w:hAnsi="Times"/>
          <w:sz w:val="20"/>
          <w:szCs w:val="20"/>
        </w:rPr>
        <w:drawing>
          <wp:inline distB="19050" distT="19050" distL="19050" distR="19050">
            <wp:extent cx="1714500" cy="561975"/>
            <wp:effectExtent b="0" l="0" r="0" t="0"/>
            <wp:docPr descr="(THE GREENBRIER COMPANIES LOGO)" id="1" name="image2.gif"/>
            <a:graphic>
              <a:graphicData uri="http://schemas.openxmlformats.org/drawingml/2006/picture">
                <pic:pic>
                  <pic:nvPicPr>
                    <pic:cNvPr descr="(THE GREENBRIER COMPANIES LOGO)" id="0" name="image2.gif"/>
                    <pic:cNvPicPr preferRelativeResize="0"/>
                  </pic:nvPicPr>
                  <pic:blipFill>
                    <a:blip r:embed="rId5"/>
                    <a:srcRect b="0" l="0" r="0" t="0"/>
                    <a:stretch>
                      <a:fillRect/>
                    </a:stretch>
                  </pic:blipFill>
                  <pic:spPr>
                    <a:xfrm>
                      <a:off x="0" y="0"/>
                      <a:ext cx="1714500" cy="561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 o m p e n s a t i o n    C o m m i t t e e    C h a r t e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Board of Directors of The Greenbrier Companies, Inc. (the “Company”) shall annually appoint from its members a Compensation Committee. This Charter of the Compensation Committee supplements the provisions of Article III, Section 11(d) of the Company’s Amended and Restated By-Laws and further defines the role, authority and responsibility of the Compensation Committee. This Charter originally was adopted by the Board of Directors on July 13, 2004, and was amended and restated as of June 28,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Number of Members and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Compensation Committee shall be composed of at least two members of the Board of Directors. Members of the Committee shall be appointed annually by the Board of Directors. Vacancies shall be filled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Independence of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Members of the Compensation Committee shall be free from any relationship to the Company or its subsidiaries that, in the judgment of the Board of Directors, may interfere with the exercise of their independence from management of the Company. Other than in their capacity as members of the Board of Directors, members of the Compensation Committee may not be affiliates, officers or employees of the Company or any of its subsidiaries and may not accept from the Company or any of its subsidiaries any consulting, advisory or other compensatory fees. Appointments to the Compensation Committee shall be consistent with standards for determining independence promulgated by the Securities and Exchange Commission (the “SEC”) and the New York Stock Exchange, or such other national securities exchange as shall be the principal market for trading of the Company’s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Purposes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Committee’s primary purpose is to recommend to the Board of Directors policies and processes for the regular and orderly review of the performance and compensation of the Company’s senior executive management personnel, including the President and Chief Executive Officer, and to regularly review, administer, and when necessary recommend changes to stock option or performance-based compensation plans adopted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Without limiting the generality of the foregoing, the Compensation Committee shall also have direct responsibility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Review and approve corporate goals and objectives relevant to compensation of the Company’s Chief Executive Officer, evaluate the Chief Executive Officer’s performance in light of those goals and objectives, and determine and approve the compensation level of the Chief Executive Officer based on this evaluation.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Compensation Committee Charter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Establish compensation policy for executive officers and directors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Approve compensation of executive officers other than the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Make recommendations to the Board of Directors with respect to incentive compensation plans and equity-based plans.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Annually prepare and submit, for inclusion in management’s proxy statement to stockholders in connection with the annual meeting of stockholders, a report in conformity with Item 407(e)(5) of Securities and Exchange Commission Regulation S-K.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Administer all equity-based compensation plans adopted and approved by the Company from time to time.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Review and assess the adequacy of this Charter and the performance of the Compensation Committee on an annual basis.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Review and make recommendations to the Board of Directors regarding: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the compensation policy for non-officer employees of and consultants to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forms of compensation (including all “plan” compensation, as such term is defined in Item 402(a)(7) of Regulation S-K promulgated by the Securities and Exchange Commission, and all non-plan compensation) to be provided to the executive officers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general compensation goals and guidelines for the Company’s employees and the criteria by which bonuses to the Company’s employees are determined.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other plans that are proposed for adoption or adopted by the Company for the provision of compensation to employees, directors of, and consultants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color w:val="000000"/>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Retain and terminate such consultants, counsel, experts and other personnel as the Committee may deem reasonably necessary to enable it to fully perform its duties and fulfill its responsibilities, and determine the compensation and other terms of engagement for such consultants and experts. The Compensation Committee may obtain independently published compensation survey data in furtherance of the duties set forth herein.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Undertake such other specific duties as the Board of Directors may from time to time prescribe.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Meetings, Quorum, Informal Actions,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Compensation Committee shall meet on a regular basis. Special meetings may be called by the Chair of the Compensation Committee. A majority of the members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Compensation Committee Charter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Compensation Committee shall constitute a quorum. Concurrence of a majority of the quorum (or, in case a quorum at the time consists of two members of the Committee, both members present) shall be required to take formal action of the Compensation Committee. Written minutes shall be kept for all formal meetings of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Compensation Committee may act by unanimous written consent, and may conduct meetings via conference telephone or similar communication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Members of the Compensation Committee may meet informally with officers or employees of the Company and its subsidiaries and may conduct informal inquiries and studies without the necessity of formal meetings. The Compensation Committee may delegate to its chair or to one or more of its members the responsibility for performing routine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Compensation Committee shall report regularly to the Board of Directors and shall annually prepare and submit, for inclusion in management’s proxy statement to stockholders in connection with the annual meeting of stockholders, a report in conformity with Item 407(e)(5) of SEC Regulation 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Adopted by the Board of Directors July 13, 2004.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Amended June 28,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Amended January 8,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Compensation Committee Charter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