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FIRST AMENDMENT TO CREDIT AGREEMENT AND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FIRST AMENDMENT TO CREDIT AGREEMENT AND LOAN DOCUMENTS (this “</w:t>
      </w:r>
      <w:r w:rsidDel="00000000" w:rsidR="00000000" w:rsidRPr="00000000">
        <w:rPr>
          <w:rFonts w:ascii="Times New Roman" w:cs="Times New Roman" w:eastAsia="Times New Roman" w:hAnsi="Times New Roman"/>
          <w:sz w:val="20"/>
          <w:szCs w:val="20"/>
          <w:u w:val="single"/>
          <w:rtl w:val="0"/>
        </w:rPr>
        <w:t xml:space="preserve"> Amendment</w:t>
      </w:r>
      <w:r w:rsidDel="00000000" w:rsidR="00000000" w:rsidRPr="00000000">
        <w:rPr>
          <w:rFonts w:ascii="Times New Roman" w:cs="Times New Roman" w:eastAsia="Times New Roman" w:hAnsi="Times New Roman"/>
          <w:sz w:val="20"/>
          <w:szCs w:val="20"/>
          <w:rtl w:val="0"/>
        </w:rPr>
        <w:t xml:space="preserve"> “) is made as of the 30th day of June, 2008 by and between</w:t>
      </w:r>
      <w:r w:rsidDel="00000000" w:rsidR="00000000" w:rsidRPr="00000000">
        <w:rPr>
          <w:rFonts w:ascii="Times New Roman" w:cs="Times New Roman" w:eastAsia="Times New Roman" w:hAnsi="Times New Roman"/>
          <w:b w:val="1"/>
          <w:sz w:val="20"/>
          <w:szCs w:val="20"/>
          <w:rtl w:val="0"/>
        </w:rPr>
        <w:t xml:space="preserve"> SUMMER INFANT, INC.</w:t>
      </w:r>
      <w:r w:rsidDel="00000000" w:rsidR="00000000" w:rsidRPr="00000000">
        <w:rPr>
          <w:rFonts w:ascii="Times New Roman" w:cs="Times New Roman" w:eastAsia="Times New Roman" w:hAnsi="Times New Roman"/>
          <w:sz w:val="20"/>
          <w:szCs w:val="20"/>
          <w:rtl w:val="0"/>
        </w:rPr>
        <w:t xml:space="preserve"> , a Delaware corporation (“</w:t>
      </w:r>
      <w:r w:rsidDel="00000000" w:rsidR="00000000" w:rsidRPr="00000000">
        <w:rPr>
          <w:rFonts w:ascii="Times New Roman" w:cs="Times New Roman" w:eastAsia="Times New Roman" w:hAnsi="Times New Roman"/>
          <w:sz w:val="20"/>
          <w:szCs w:val="20"/>
          <w:u w:val="single"/>
          <w:rtl w:val="0"/>
        </w:rPr>
        <w:t xml:space="preserve"> SI Holdings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SUMMER INFANT (USA), INC.</w:t>
      </w:r>
      <w:r w:rsidDel="00000000" w:rsidR="00000000" w:rsidRPr="00000000">
        <w:rPr>
          <w:rFonts w:ascii="Times New Roman" w:cs="Times New Roman" w:eastAsia="Times New Roman" w:hAnsi="Times New Roman"/>
          <w:sz w:val="20"/>
          <w:szCs w:val="20"/>
          <w:rtl w:val="0"/>
        </w:rPr>
        <w:t xml:space="preserve"> , a Rhode Island corporation (“</w:t>
      </w:r>
      <w:r w:rsidDel="00000000" w:rsidR="00000000" w:rsidRPr="00000000">
        <w:rPr>
          <w:rFonts w:ascii="Times New Roman" w:cs="Times New Roman" w:eastAsia="Times New Roman" w:hAnsi="Times New Roman"/>
          <w:sz w:val="20"/>
          <w:szCs w:val="20"/>
          <w:u w:val="single"/>
          <w:rtl w:val="0"/>
        </w:rPr>
        <w:t xml:space="preserve"> SI USA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KIDDOPOTAMUS &amp; COMPANY</w:t>
      </w:r>
      <w:r w:rsidDel="00000000" w:rsidR="00000000" w:rsidRPr="00000000">
        <w:rPr>
          <w:rFonts w:ascii="Times New Roman" w:cs="Times New Roman" w:eastAsia="Times New Roman" w:hAnsi="Times New Roman"/>
          <w:sz w:val="20"/>
          <w:szCs w:val="20"/>
          <w:rtl w:val="0"/>
        </w:rPr>
        <w:t xml:space="preserve"> , a Delaware corporation (“</w:t>
      </w:r>
      <w:r w:rsidDel="00000000" w:rsidR="00000000" w:rsidRPr="00000000">
        <w:rPr>
          <w:rFonts w:ascii="Times New Roman" w:cs="Times New Roman" w:eastAsia="Times New Roman" w:hAnsi="Times New Roman"/>
          <w:sz w:val="20"/>
          <w:szCs w:val="20"/>
          <w:u w:val="single"/>
          <w:rtl w:val="0"/>
        </w:rPr>
        <w:t xml:space="preserve"> Kiddopotamus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  SUMMER INFANT EUROPE LIMITED</w:t>
      </w:r>
      <w:r w:rsidDel="00000000" w:rsidR="00000000" w:rsidRPr="00000000">
        <w:rPr>
          <w:rFonts w:ascii="Times New Roman" w:cs="Times New Roman" w:eastAsia="Times New Roman" w:hAnsi="Times New Roman"/>
          <w:sz w:val="20"/>
          <w:szCs w:val="20"/>
          <w:rtl w:val="0"/>
        </w:rPr>
        <w:t xml:space="preserve"> , a private company limited by shares organized under the laws of England and Wales with registered number 04322137 (“</w:t>
      </w:r>
      <w:r w:rsidDel="00000000" w:rsidR="00000000" w:rsidRPr="00000000">
        <w:rPr>
          <w:rFonts w:ascii="Times New Roman" w:cs="Times New Roman" w:eastAsia="Times New Roman" w:hAnsi="Times New Roman"/>
          <w:sz w:val="20"/>
          <w:szCs w:val="20"/>
          <w:u w:val="single"/>
          <w:rtl w:val="0"/>
        </w:rPr>
        <w:t xml:space="preserve"> SI Europe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SUMMER INFANT ASIA LIMITED</w:t>
      </w:r>
      <w:r w:rsidDel="00000000" w:rsidR="00000000" w:rsidRPr="00000000">
        <w:rPr>
          <w:rFonts w:ascii="Times New Roman" w:cs="Times New Roman" w:eastAsia="Times New Roman" w:hAnsi="Times New Roman"/>
          <w:sz w:val="20"/>
          <w:szCs w:val="20"/>
          <w:rtl w:val="0"/>
        </w:rPr>
        <w:t xml:space="preserve"> , a Hong Kong corporation (“</w:t>
      </w:r>
      <w:r w:rsidDel="00000000" w:rsidR="00000000" w:rsidRPr="00000000">
        <w:rPr>
          <w:rFonts w:ascii="Times New Roman" w:cs="Times New Roman" w:eastAsia="Times New Roman" w:hAnsi="Times New Roman"/>
          <w:sz w:val="20"/>
          <w:szCs w:val="20"/>
          <w:u w:val="single"/>
          <w:rtl w:val="0"/>
        </w:rPr>
        <w:t xml:space="preserve"> SI Asia</w:t>
      </w:r>
      <w:r w:rsidDel="00000000" w:rsidR="00000000" w:rsidRPr="00000000">
        <w:rPr>
          <w:rFonts w:ascii="Times New Roman" w:cs="Times New Roman" w:eastAsia="Times New Roman" w:hAnsi="Times New Roman"/>
          <w:sz w:val="20"/>
          <w:szCs w:val="20"/>
          <w:rtl w:val="0"/>
        </w:rPr>
        <w:t xml:space="preserve"> “), and</w:t>
      </w:r>
      <w:r w:rsidDel="00000000" w:rsidR="00000000" w:rsidRPr="00000000">
        <w:rPr>
          <w:rFonts w:ascii="Times New Roman" w:cs="Times New Roman" w:eastAsia="Times New Roman" w:hAnsi="Times New Roman"/>
          <w:b w:val="1"/>
          <w:sz w:val="20"/>
          <w:szCs w:val="20"/>
          <w:rtl w:val="0"/>
        </w:rPr>
        <w:t xml:space="preserve"> SUMMER INFANT CANADA, LIMITED</w:t>
      </w:r>
      <w:r w:rsidDel="00000000" w:rsidR="00000000" w:rsidRPr="00000000">
        <w:rPr>
          <w:rFonts w:ascii="Times New Roman" w:cs="Times New Roman" w:eastAsia="Times New Roman" w:hAnsi="Times New Roman"/>
          <w:sz w:val="20"/>
          <w:szCs w:val="20"/>
          <w:rtl w:val="0"/>
        </w:rPr>
        <w:t xml:space="preserve"> , a corporation organized under the laws of the Province of New Brunswick, Canada (“</w:t>
      </w:r>
      <w:r w:rsidDel="00000000" w:rsidR="00000000" w:rsidRPr="00000000">
        <w:rPr>
          <w:rFonts w:ascii="Times New Roman" w:cs="Times New Roman" w:eastAsia="Times New Roman" w:hAnsi="Times New Roman"/>
          <w:sz w:val="20"/>
          <w:szCs w:val="20"/>
          <w:u w:val="single"/>
          <w:rtl w:val="0"/>
        </w:rPr>
        <w:t xml:space="preserve"> SI Canada</w:t>
      </w:r>
      <w:r w:rsidDel="00000000" w:rsidR="00000000" w:rsidRPr="00000000">
        <w:rPr>
          <w:rFonts w:ascii="Times New Roman" w:cs="Times New Roman" w:eastAsia="Times New Roman" w:hAnsi="Times New Roman"/>
          <w:sz w:val="20"/>
          <w:szCs w:val="20"/>
          <w:rtl w:val="0"/>
        </w:rPr>
        <w:t xml:space="preserve"> “, and collectively with SI Holdings, SI USA, Kiddopotamus, SI Europe and SI Asia, the “</w:t>
      </w:r>
      <w:r w:rsidDel="00000000" w:rsidR="00000000" w:rsidRPr="00000000">
        <w:rPr>
          <w:rFonts w:ascii="Times New Roman" w:cs="Times New Roman" w:eastAsia="Times New Roman" w:hAnsi="Times New Roman"/>
          <w:sz w:val="20"/>
          <w:szCs w:val="20"/>
          <w:u w:val="single"/>
          <w:rtl w:val="0"/>
        </w:rPr>
        <w:t xml:space="preserve"> Original Borrowers</w:t>
      </w:r>
      <w:r w:rsidDel="00000000" w:rsidR="00000000" w:rsidRPr="00000000">
        <w:rPr>
          <w:rFonts w:ascii="Times New Roman" w:cs="Times New Roman" w:eastAsia="Times New Roman" w:hAnsi="Times New Roman"/>
          <w:sz w:val="20"/>
          <w:szCs w:val="20"/>
          <w:rtl w:val="0"/>
        </w:rPr>
        <w:t xml:space="preserve"> “ and each individually an “</w:t>
      </w:r>
      <w:r w:rsidDel="00000000" w:rsidR="00000000" w:rsidRPr="00000000">
        <w:rPr>
          <w:rFonts w:ascii="Times New Roman" w:cs="Times New Roman" w:eastAsia="Times New Roman" w:hAnsi="Times New Roman"/>
          <w:sz w:val="20"/>
          <w:szCs w:val="20"/>
          <w:u w:val="single"/>
          <w:rtl w:val="0"/>
        </w:rPr>
        <w:t xml:space="preserve"> Original Borrower</w:t>
      </w:r>
      <w:r w:rsidDel="00000000" w:rsidR="00000000" w:rsidRPr="00000000">
        <w:rPr>
          <w:rFonts w:ascii="Times New Roman" w:cs="Times New Roman" w:eastAsia="Times New Roman" w:hAnsi="Times New Roman"/>
          <w:sz w:val="20"/>
          <w:szCs w:val="20"/>
          <w:rtl w:val="0"/>
        </w:rPr>
        <w:t xml:space="preserve"> “), certain Lenders identified on the signature pages hereto (collectively, the “</w:t>
      </w:r>
      <w:r w:rsidDel="00000000" w:rsidR="00000000" w:rsidRPr="00000000">
        <w:rPr>
          <w:rFonts w:ascii="Times New Roman" w:cs="Times New Roman" w:eastAsia="Times New Roman" w:hAnsi="Times New Roman"/>
          <w:sz w:val="20"/>
          <w:szCs w:val="20"/>
          <w:u w:val="single"/>
          <w:rtl w:val="0"/>
        </w:rPr>
        <w:t xml:space="preserve"> Lenders</w:t>
      </w:r>
      <w:r w:rsidDel="00000000" w:rsidR="00000000" w:rsidRPr="00000000">
        <w:rPr>
          <w:rFonts w:ascii="Times New Roman" w:cs="Times New Roman" w:eastAsia="Times New Roman" w:hAnsi="Times New Roman"/>
          <w:sz w:val="20"/>
          <w:szCs w:val="20"/>
          <w:rtl w:val="0"/>
        </w:rPr>
        <w:t xml:space="preserve"> “ and each individually, a “</w:t>
      </w:r>
      <w:r w:rsidDel="00000000" w:rsidR="00000000" w:rsidRPr="00000000">
        <w:rPr>
          <w:rFonts w:ascii="Times New Roman" w:cs="Times New Roman" w:eastAsia="Times New Roman" w:hAnsi="Times New Roman"/>
          <w:sz w:val="20"/>
          <w:szCs w:val="20"/>
          <w:u w:val="single"/>
          <w:rtl w:val="0"/>
        </w:rPr>
        <w:t xml:space="preserve"> Lender</w:t>
      </w:r>
      <w:r w:rsidDel="00000000" w:rsidR="00000000" w:rsidRPr="00000000">
        <w:rPr>
          <w:rFonts w:ascii="Times New Roman" w:cs="Times New Roman" w:eastAsia="Times New Roman" w:hAnsi="Times New Roman"/>
          <w:sz w:val="20"/>
          <w:szCs w:val="20"/>
          <w:rtl w:val="0"/>
        </w:rPr>
        <w:t xml:space="preserve"> “), and</w:t>
      </w:r>
      <w:r w:rsidDel="00000000" w:rsidR="00000000" w:rsidRPr="00000000">
        <w:rPr>
          <w:rFonts w:ascii="Times New Roman" w:cs="Times New Roman" w:eastAsia="Times New Roman" w:hAnsi="Times New Roman"/>
          <w:b w:val="1"/>
          <w:sz w:val="20"/>
          <w:szCs w:val="20"/>
          <w:rtl w:val="0"/>
        </w:rPr>
        <w:t xml:space="preserve"> BANK OF AMERICA, N.A.</w:t>
      </w:r>
      <w:r w:rsidDel="00000000" w:rsidR="00000000" w:rsidRPr="00000000">
        <w:rPr>
          <w:rFonts w:ascii="Times New Roman" w:cs="Times New Roman" w:eastAsia="Times New Roman" w:hAnsi="Times New Roman"/>
          <w:sz w:val="20"/>
          <w:szCs w:val="20"/>
          <w:rtl w:val="0"/>
        </w:rPr>
        <w:t xml:space="preserve"> , a national banking association, as Administrative Agent (in such capacity, the “</w:t>
      </w:r>
      <w:r w:rsidDel="00000000" w:rsidR="00000000" w:rsidRPr="00000000">
        <w:rPr>
          <w:rFonts w:ascii="Times New Roman" w:cs="Times New Roman" w:eastAsia="Times New Roman" w:hAnsi="Times New Roman"/>
          <w:sz w:val="20"/>
          <w:szCs w:val="20"/>
          <w:u w:val="single"/>
          <w:rtl w:val="0"/>
        </w:rPr>
        <w:t xml:space="preserve"> Agent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RECITALS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Lenders,</w:t>
      </w:r>
      <w:r w:rsidDel="00000000" w:rsidR="00000000" w:rsidRPr="00000000">
        <w:rPr>
          <w:rFonts w:ascii="Times New Roman" w:cs="Times New Roman" w:eastAsia="Times New Roman" w:hAnsi="Times New Roman"/>
          <w:b w:val="1"/>
          <w:sz w:val="20"/>
          <w:szCs w:val="20"/>
          <w:rtl w:val="0"/>
        </w:rPr>
        <w:t xml:space="preserve"> BANK OF AMERICA, N.A.</w:t>
      </w:r>
      <w:r w:rsidDel="00000000" w:rsidR="00000000" w:rsidRPr="00000000">
        <w:rPr>
          <w:rFonts w:ascii="Times New Roman" w:cs="Times New Roman" w:eastAsia="Times New Roman" w:hAnsi="Times New Roman"/>
          <w:sz w:val="20"/>
          <w:szCs w:val="20"/>
          <w:rtl w:val="0"/>
        </w:rPr>
        <w:t xml:space="preserve">, a national banking association, as Swing Line Lender (the “</w:t>
      </w:r>
      <w:r w:rsidDel="00000000" w:rsidR="00000000" w:rsidRPr="00000000">
        <w:rPr>
          <w:rFonts w:ascii="Times New Roman" w:cs="Times New Roman" w:eastAsia="Times New Roman" w:hAnsi="Times New Roman"/>
          <w:sz w:val="20"/>
          <w:szCs w:val="20"/>
          <w:u w:val="single"/>
          <w:rtl w:val="0"/>
        </w:rPr>
        <w:t xml:space="preserve"> Swing Line Lender</w:t>
      </w:r>
      <w:r w:rsidDel="00000000" w:rsidR="00000000" w:rsidRPr="00000000">
        <w:rPr>
          <w:rFonts w:ascii="Times New Roman" w:cs="Times New Roman" w:eastAsia="Times New Roman" w:hAnsi="Times New Roman"/>
          <w:sz w:val="20"/>
          <w:szCs w:val="20"/>
          <w:rtl w:val="0"/>
        </w:rPr>
        <w:t xml:space="preserve"> “) and L/C Issuer (the “</w:t>
      </w:r>
      <w:r w:rsidDel="00000000" w:rsidR="00000000" w:rsidRPr="00000000">
        <w:rPr>
          <w:rFonts w:ascii="Times New Roman" w:cs="Times New Roman" w:eastAsia="Times New Roman" w:hAnsi="Times New Roman"/>
          <w:sz w:val="20"/>
          <w:szCs w:val="20"/>
          <w:u w:val="single"/>
          <w:rtl w:val="0"/>
        </w:rPr>
        <w:t xml:space="preserve"> L/C Issuer</w:t>
      </w:r>
      <w:r w:rsidDel="00000000" w:rsidR="00000000" w:rsidRPr="00000000">
        <w:rPr>
          <w:rFonts w:ascii="Times New Roman" w:cs="Times New Roman" w:eastAsia="Times New Roman" w:hAnsi="Times New Roman"/>
          <w:sz w:val="20"/>
          <w:szCs w:val="20"/>
          <w:rtl w:val="0"/>
        </w:rPr>
        <w:t xml:space="preserve"> “), the Agent and the Original Borrowers are parties to a certain Credit Agreement dated as of April 10, 2008, as supplemented by a Joinder and Security Agreement dated as of April 18, 2008, by and among the Lenders, the Agent, the Original Borrowers and Kiddo Acquisition Co., Inc., a Rhode Island corporation (as supplemented, the “</w:t>
      </w:r>
      <w:r w:rsidDel="00000000" w:rsidR="00000000" w:rsidRPr="00000000">
        <w:rPr>
          <w:rFonts w:ascii="Times New Roman" w:cs="Times New Roman" w:eastAsia="Times New Roman" w:hAnsi="Times New Roman"/>
          <w:sz w:val="20"/>
          <w:szCs w:val="20"/>
          <w:u w:val="single"/>
          <w:rtl w:val="0"/>
        </w:rPr>
        <w:t xml:space="preserve"> Credit Agreement</w:t>
      </w:r>
      <w:r w:rsidDel="00000000" w:rsidR="00000000" w:rsidRPr="00000000">
        <w:rPr>
          <w:rFonts w:ascii="Times New Roman" w:cs="Times New Roman" w:eastAsia="Times New Roman" w:hAnsi="Times New Roman"/>
          <w:sz w:val="20"/>
          <w:szCs w:val="20"/>
          <w:rtl w:val="0"/>
        </w:rPr>
        <w:t xml:space="preserve"> “), which Credit Agreement is incorporated herein by reference and made a part hereof (capitalized terms used herein that are not otherwise defined herein shall have the meanings set forth in the Credit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Original Borrowers have applied to the Lenders, the Swing Line Lender, the L/C Issuer and the Agent (collectively, the “</w:t>
      </w:r>
      <w:r w:rsidDel="00000000" w:rsidR="00000000" w:rsidRPr="00000000">
        <w:rPr>
          <w:rFonts w:ascii="Times New Roman" w:cs="Times New Roman" w:eastAsia="Times New Roman" w:hAnsi="Times New Roman"/>
          <w:sz w:val="20"/>
          <w:szCs w:val="20"/>
          <w:u w:val="single"/>
          <w:rtl w:val="0"/>
        </w:rPr>
        <w:t xml:space="preserve"> Lender Parties</w:t>
      </w:r>
      <w:r w:rsidDel="00000000" w:rsidR="00000000" w:rsidRPr="00000000">
        <w:rPr>
          <w:rFonts w:ascii="Times New Roman" w:cs="Times New Roman" w:eastAsia="Times New Roman" w:hAnsi="Times New Roman"/>
          <w:sz w:val="20"/>
          <w:szCs w:val="20"/>
          <w:rtl w:val="0"/>
        </w:rPr>
        <w:t xml:space="preserve"> “) to make certain amendments to the Credit Agreement and certain other Loan Documents;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on or about June 30, 2008, the Lender Parties agreed to effect such amendments subject to the execution and delivery of an amendment in form and substance satisfactory to the Lender Parties to evidence such amendments;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Lender Parties and the Original Borrowers desire to amend the Credit Agreement in the manner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for good and valuable consideration, the receipt and sufficiency of which are hereby acknowledged, the parties hereto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parties hereto hereby agree that SI Europe, SI Asia and SI Canada shall be and are hereby released as “Borrowers” under the Credit Agreement and the Notes, and as “Grantors” under the Guaranty and Security Agreement of the Original Borrowers in favor of the Agent for the benefit of the Lenders and other Lender Parties dated as of April 10, 2008 (the “</w:t>
      </w:r>
      <w:r w:rsidDel="00000000" w:rsidR="00000000" w:rsidRPr="00000000">
        <w:rPr>
          <w:rFonts w:ascii="Times New Roman" w:cs="Times New Roman" w:eastAsia="Times New Roman" w:hAnsi="Times New Roman"/>
          <w:sz w:val="20"/>
          <w:szCs w:val="20"/>
          <w:u w:val="single"/>
          <w:rtl w:val="0"/>
        </w:rPr>
        <w:t xml:space="preserve"> Security Agreement</w:t>
      </w:r>
      <w:r w:rsidDel="00000000" w:rsidR="00000000" w:rsidRPr="00000000">
        <w:rPr>
          <w:rFonts w:ascii="Times New Roman" w:cs="Times New Roman" w:eastAsia="Times New Roman" w:hAnsi="Times New Roman"/>
          <w:sz w:val="20"/>
          <w:szCs w:val="20"/>
          <w:rtl w:val="0"/>
        </w:rPr>
        <w:t xml:space="preserve"> “).  Accordingly, the terms “</w:t>
      </w:r>
      <w:r w:rsidDel="00000000" w:rsidR="00000000" w:rsidRPr="00000000">
        <w:rPr>
          <w:rFonts w:ascii="Times New Roman" w:cs="Times New Roman" w:eastAsia="Times New Roman" w:hAnsi="Times New Roman"/>
          <w:sz w:val="20"/>
          <w:szCs w:val="20"/>
          <w:u w:val="single"/>
          <w:rtl w:val="0"/>
        </w:rPr>
        <w:t xml:space="preserve"> Borrower</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 Borrowers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 Loan Party</w:t>
      </w:r>
      <w:r w:rsidDel="00000000" w:rsidR="00000000" w:rsidRPr="00000000">
        <w:rPr>
          <w:rFonts w:ascii="Times New Roman" w:cs="Times New Roman" w:eastAsia="Times New Roman" w:hAnsi="Times New Roman"/>
          <w:sz w:val="20"/>
          <w:szCs w:val="20"/>
          <w:rtl w:val="0"/>
        </w:rPr>
        <w:t xml:space="preserve"> “ and “</w:t>
      </w:r>
      <w:r w:rsidDel="00000000" w:rsidR="00000000" w:rsidRPr="00000000">
        <w:rPr>
          <w:rFonts w:ascii="Times New Roman" w:cs="Times New Roman" w:eastAsia="Times New Roman" w:hAnsi="Times New Roman"/>
          <w:sz w:val="20"/>
          <w:szCs w:val="20"/>
          <w:u w:val="single"/>
          <w:rtl w:val="0"/>
        </w:rPr>
        <w:t xml:space="preserve"> Loan Parties</w:t>
      </w:r>
      <w:r w:rsidDel="00000000" w:rsidR="00000000" w:rsidRPr="00000000">
        <w:rPr>
          <w:rFonts w:ascii="Times New Roman" w:cs="Times New Roman" w:eastAsia="Times New Roman" w:hAnsi="Times New Roman"/>
          <w:sz w:val="20"/>
          <w:szCs w:val="20"/>
          <w:rtl w:val="0"/>
        </w:rPr>
        <w:t xml:space="preserve"> “ appearing in the Credit Agreement and the Notes, and the terms “</w:t>
      </w:r>
      <w:r w:rsidDel="00000000" w:rsidR="00000000" w:rsidRPr="00000000">
        <w:rPr>
          <w:rFonts w:ascii="Times New Roman" w:cs="Times New Roman" w:eastAsia="Times New Roman" w:hAnsi="Times New Roman"/>
          <w:sz w:val="20"/>
          <w:szCs w:val="20"/>
          <w:u w:val="single"/>
          <w:rtl w:val="0"/>
        </w:rPr>
        <w:t xml:space="preserve"> Grantor</w:t>
      </w:r>
      <w:r w:rsidDel="00000000" w:rsidR="00000000" w:rsidRPr="00000000">
        <w:rPr>
          <w:rFonts w:ascii="Times New Roman" w:cs="Times New Roman" w:eastAsia="Times New Roman" w:hAnsi="Times New Roman"/>
          <w:sz w:val="20"/>
          <w:szCs w:val="20"/>
          <w:rtl w:val="0"/>
        </w:rPr>
        <w:t xml:space="preserve"> “ and “</w:t>
      </w:r>
      <w:r w:rsidDel="00000000" w:rsidR="00000000" w:rsidRPr="00000000">
        <w:rPr>
          <w:rFonts w:ascii="Times New Roman" w:cs="Times New Roman" w:eastAsia="Times New Roman" w:hAnsi="Times New Roman"/>
          <w:sz w:val="20"/>
          <w:szCs w:val="20"/>
          <w:u w:val="single"/>
          <w:rtl w:val="0"/>
        </w:rPr>
        <w:t xml:space="preserve"> Grantors</w:t>
      </w:r>
      <w:r w:rsidDel="00000000" w:rsidR="00000000" w:rsidRPr="00000000">
        <w:rPr>
          <w:rFonts w:ascii="Times New Roman" w:cs="Times New Roman" w:eastAsia="Times New Roman" w:hAnsi="Times New Roman"/>
          <w:sz w:val="20"/>
          <w:szCs w:val="20"/>
          <w:rtl w:val="0"/>
        </w:rPr>
        <w:t xml:space="preserve"> “ appearing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Security Agreement, are hereby amended to delete all references to SI Europe, SI Asia and SI Canada.  Nothing contained herein is intended to modify, release or discharge any of the obligations, indebtedness or liabilities of SI Holdings, SI USA or Kiddopotamus under the Credit Agreement, the Notes, the Security Agreement or any other Loan Documents, and SI Holdings, SI USA and Kiddopotamus (collectively, the “</w:t>
      </w:r>
      <w:r w:rsidDel="00000000" w:rsidR="00000000" w:rsidRPr="00000000">
        <w:rPr>
          <w:rFonts w:ascii="Times New Roman" w:cs="Times New Roman" w:eastAsia="Times New Roman" w:hAnsi="Times New Roman"/>
          <w:sz w:val="20"/>
          <w:szCs w:val="20"/>
          <w:u w:val="single"/>
          <w:rtl w:val="0"/>
        </w:rPr>
        <w:t xml:space="preserve"> Borrowers</w:t>
      </w:r>
      <w:r w:rsidDel="00000000" w:rsidR="00000000" w:rsidRPr="00000000">
        <w:rPr>
          <w:rFonts w:ascii="Times New Roman" w:cs="Times New Roman" w:eastAsia="Times New Roman" w:hAnsi="Times New Roman"/>
          <w:sz w:val="20"/>
          <w:szCs w:val="20"/>
          <w:rtl w:val="0"/>
        </w:rPr>
        <w:t xml:space="preserve"> “) shall remain obligated under each of the Credit Agreement, the Notes, the Security Agreement and all other Loan Documents, and shall remain jointly and severally liable for the payment and performance of all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following definitions of “</w:t>
      </w:r>
      <w:r w:rsidDel="00000000" w:rsidR="00000000" w:rsidRPr="00000000">
        <w:rPr>
          <w:rFonts w:ascii="Times New Roman" w:cs="Times New Roman" w:eastAsia="Times New Roman" w:hAnsi="Times New Roman"/>
          <w:sz w:val="20"/>
          <w:szCs w:val="20"/>
          <w:u w:val="single"/>
          <w:rtl w:val="0"/>
        </w:rPr>
        <w:t xml:space="preserve">Applicable Rate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Borrowing Base Availability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Letter of Credit</w:t>
      </w:r>
      <w:r w:rsidDel="00000000" w:rsidR="00000000" w:rsidRPr="00000000">
        <w:rPr>
          <w:rFonts w:ascii="Times New Roman" w:cs="Times New Roman" w:eastAsia="Times New Roman" w:hAnsi="Times New Roman"/>
          <w:sz w:val="20"/>
          <w:szCs w:val="20"/>
          <w:rtl w:val="0"/>
        </w:rPr>
        <w:t xml:space="preserve"> “ and “</w:t>
      </w:r>
      <w:r w:rsidDel="00000000" w:rsidR="00000000" w:rsidRPr="00000000">
        <w:rPr>
          <w:rFonts w:ascii="Times New Roman" w:cs="Times New Roman" w:eastAsia="Times New Roman" w:hAnsi="Times New Roman"/>
          <w:sz w:val="20"/>
          <w:szCs w:val="20"/>
          <w:u w:val="single"/>
          <w:rtl w:val="0"/>
        </w:rPr>
        <w:t xml:space="preserve"> Pledging Borrowers</w:t>
      </w:r>
      <w:r w:rsidDel="00000000" w:rsidR="00000000" w:rsidRPr="00000000">
        <w:rPr>
          <w:rFonts w:ascii="Times New Roman" w:cs="Times New Roman" w:eastAsia="Times New Roman" w:hAnsi="Times New Roman"/>
          <w:sz w:val="20"/>
          <w:szCs w:val="20"/>
          <w:rtl w:val="0"/>
        </w:rPr>
        <w:t xml:space="preserve"> “ set forth in</w:t>
      </w:r>
      <w:r w:rsidDel="00000000" w:rsidR="00000000" w:rsidRPr="00000000">
        <w:rPr>
          <w:rFonts w:ascii="Times New Roman" w:cs="Times New Roman" w:eastAsia="Times New Roman" w:hAnsi="Times New Roman"/>
          <w:b w:val="1"/>
          <w:sz w:val="20"/>
          <w:szCs w:val="20"/>
          <w:rtl w:val="0"/>
        </w:rPr>
        <w:t xml:space="preserve"> Section 1.01</w:t>
      </w:r>
      <w:r w:rsidDel="00000000" w:rsidR="00000000" w:rsidRPr="00000000">
        <w:rPr>
          <w:rFonts w:ascii="Times New Roman" w:cs="Times New Roman" w:eastAsia="Times New Roman" w:hAnsi="Times New Roman"/>
          <w:sz w:val="20"/>
          <w:szCs w:val="20"/>
          <w:rtl w:val="0"/>
        </w:rPr>
        <w:t xml:space="preserve">  of the Credit Agreement are hereby amended to read in their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70" w:firstLine="7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Applicable Rate</w:t>
      </w:r>
      <w:r w:rsidDel="00000000" w:rsidR="00000000" w:rsidRPr="00000000">
        <w:rPr>
          <w:rFonts w:ascii="Times New Roman" w:cs="Times New Roman" w:eastAsia="Times New Roman" w:hAnsi="Times New Roman"/>
          <w:sz w:val="20"/>
          <w:szCs w:val="20"/>
          <w:rtl w:val="0"/>
        </w:rPr>
        <w:t xml:space="preserve">” means, from time to time, the following percentages per annum, based upon the Funded Debt to EBITDA Ratio (the “</w:t>
      </w:r>
      <w:r w:rsidDel="00000000" w:rsidR="00000000" w:rsidRPr="00000000">
        <w:rPr>
          <w:rFonts w:ascii="Times New Roman" w:cs="Times New Roman" w:eastAsia="Times New Roman" w:hAnsi="Times New Roman"/>
          <w:sz w:val="20"/>
          <w:szCs w:val="20"/>
          <w:u w:val="single"/>
          <w:rtl w:val="0"/>
        </w:rPr>
        <w:t xml:space="preserve"> Financial Covenant</w:t>
      </w:r>
      <w:r w:rsidDel="00000000" w:rsidR="00000000" w:rsidRPr="00000000">
        <w:rPr>
          <w:rFonts w:ascii="Times New Roman" w:cs="Times New Roman" w:eastAsia="Times New Roman" w:hAnsi="Times New Roman"/>
          <w:sz w:val="20"/>
          <w:szCs w:val="20"/>
          <w:rtl w:val="0"/>
        </w:rPr>
        <w:t xml:space="preserve"> “) as set forth in the most recent Compliance Certificate received by Agent pursuant to </w:t>
      </w:r>
      <w:r w:rsidDel="00000000" w:rsidR="00000000" w:rsidRPr="00000000">
        <w:rPr>
          <w:rFonts w:ascii="Times New Roman" w:cs="Times New Roman" w:eastAsia="Times New Roman" w:hAnsi="Times New Roman"/>
          <w:sz w:val="20"/>
          <w:szCs w:val="20"/>
          <w:u w:val="single"/>
          <w:rtl w:val="0"/>
        </w:rPr>
        <w:t xml:space="preserve">Section 6.02(b)</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70" w:firstLine="7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Applicable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360.0" w:type="dxa"/>
        <w:jc w:val="left"/>
        <w:tblInd w:w="0.0" w:type="pct"/>
        <w:tblLayout w:type="fixed"/>
        <w:tblLook w:val="0600"/>
      </w:tblPr>
      <w:tblGrid>
        <w:gridCol w:w="1298.869297066498"/>
        <w:gridCol w:w="370.04823278247795"/>
        <w:gridCol w:w="2597.738594132996"/>
        <w:gridCol w:w="370.04823278247795"/>
        <w:gridCol w:w="2251.3734482485966"/>
        <w:gridCol w:w="370.04823278247795"/>
        <w:gridCol w:w="1731.8257294219973"/>
        <w:gridCol w:w="370.04823278247795"/>
        <w:tblGridChange w:id="0">
          <w:tblGrid>
            <w:gridCol w:w="1298.869297066498"/>
            <w:gridCol w:w="370.04823278247795"/>
            <w:gridCol w:w="2597.738594132996"/>
            <w:gridCol w:w="370.04823278247795"/>
            <w:gridCol w:w="2251.3734482485966"/>
            <w:gridCol w:w="370.04823278247795"/>
            <w:gridCol w:w="1731.8257294219973"/>
            <w:gridCol w:w="370.04823278247795"/>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Level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Funded Debt to EBITDA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Ratio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Applicable Rate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Eurodollar Rate Loans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Letters of Credit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Applicable Rate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Base Rate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u w:val="single"/>
                <w:shd w:fill="auto" w:val="clear"/>
                <w:rtl w:val="0"/>
              </w:rPr>
              <w:t xml:space="preserve">&lt;</w:t>
            </w:r>
            <w:r w:rsidDel="00000000" w:rsidR="00000000" w:rsidRPr="00000000">
              <w:rPr>
                <w:rFonts w:ascii="Times New Roman" w:cs="Times New Roman" w:eastAsia="Times New Roman" w:hAnsi="Times New Roman"/>
                <w:sz w:val="20"/>
                <w:szCs w:val="20"/>
                <w:shd w:fill="auto" w:val="clear"/>
                <w:rtl w:val="0"/>
              </w:rPr>
              <w:t xml:space="preserve">2.75:1.00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&gt;2.75:1.00 but</w:t>
            </w:r>
            <w:r w:rsidDel="00000000" w:rsidR="00000000" w:rsidRPr="00000000">
              <w:rPr>
                <w:rFonts w:ascii="Times New Roman" w:cs="Times New Roman" w:eastAsia="Times New Roman" w:hAnsi="Times New Roman"/>
                <w:sz w:val="20"/>
                <w:szCs w:val="20"/>
                <w:u w:val="single"/>
                <w:rtl w:val="0"/>
              </w:rPr>
              <w:t xml:space="preserve">&lt;</w:t>
            </w:r>
            <w:r w:rsidDel="00000000" w:rsidR="00000000" w:rsidRPr="00000000">
              <w:rPr>
                <w:rFonts w:ascii="Times New Roman" w:cs="Times New Roman" w:eastAsia="Times New Roman" w:hAnsi="Times New Roman"/>
                <w:sz w:val="20"/>
                <w:szCs w:val="20"/>
                <w:rtl w:val="0"/>
              </w:rPr>
              <w:t xml:space="preserve">3.25:1.00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&gt;3.25:1.00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70" w:firstLine="7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increase or decrease in the Applicable Rate resulting from a change in the Financial Covenant shall become effective as of the first Business Day of the month immediately following the date a Compliance Certificate is delivered pursuant to </w:t>
      </w:r>
      <w:r w:rsidDel="00000000" w:rsidR="00000000" w:rsidRPr="00000000">
        <w:rPr>
          <w:rFonts w:ascii="Times New Roman" w:cs="Times New Roman" w:eastAsia="Times New Roman" w:hAnsi="Times New Roman"/>
          <w:sz w:val="20"/>
          <w:szCs w:val="20"/>
          <w:u w:val="single"/>
          <w:rtl w:val="0"/>
        </w:rPr>
        <w:t xml:space="preserve">Section 6.02(b)</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 provided</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 however</w:t>
      </w:r>
      <w:r w:rsidDel="00000000" w:rsidR="00000000" w:rsidRPr="00000000">
        <w:rPr>
          <w:rFonts w:ascii="Times New Roman" w:cs="Times New Roman" w:eastAsia="Times New Roman" w:hAnsi="Times New Roman"/>
          <w:sz w:val="20"/>
          <w:szCs w:val="20"/>
          <w:rtl w:val="0"/>
        </w:rPr>
        <w:t xml:space="preserve"> , that if a Compliance Certificate is not delivered when due in accordance with such Section, then Pricing Level 3 shall apply as of the first Business Day of the month following the date such Compliance Certificate was required to have been delivered.  The Applicable Rate in effect from the Closing Date through June 30, 2008 shall be determined based upon Pricing Level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70" w:firstLine="7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70" w:firstLine="7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to the contrary contained in this definition, (i) the determination of the Applicable Rate for any period shall be subject to the provisions of </w:t>
      </w:r>
      <w:r w:rsidDel="00000000" w:rsidR="00000000" w:rsidRPr="00000000">
        <w:rPr>
          <w:rFonts w:ascii="Times New Roman" w:cs="Times New Roman" w:eastAsia="Times New Roman" w:hAnsi="Times New Roman"/>
          <w:sz w:val="20"/>
          <w:szCs w:val="20"/>
          <w:u w:val="single"/>
          <w:rtl w:val="0"/>
        </w:rPr>
        <w:t xml:space="preserve">Section 2.10(b)</w:t>
      </w:r>
      <w:r w:rsidDel="00000000" w:rsidR="00000000" w:rsidRPr="00000000">
        <w:rPr>
          <w:rFonts w:ascii="Times New Roman" w:cs="Times New Roman" w:eastAsia="Times New Roman" w:hAnsi="Times New Roman"/>
          <w:sz w:val="20"/>
          <w:szCs w:val="20"/>
          <w:rtl w:val="0"/>
        </w:rPr>
        <w:t xml:space="preserve"> ; and (ii) at any time the Borrowers’ Funded Debt to EBITDA ratio exceeds 3.25:1.00 and the Aggregate Commitments are calculated using the Overadvance Amount, the Applicable Rate set forth in this definition shall increase by one quarter of one percent (0.25%) for the longer of (A) ninety (90) days from the date that the Aggregate Commitments began to be calculated using the Overadvance Amount; or (B) the delivery of a Borrowing Base Certificate which shows that such overadvance has been eliminated.”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70" w:firstLine="7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24.0000152587891"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Borrowing Base Availability</w:t>
      </w:r>
      <w:r w:rsidDel="00000000" w:rsidR="00000000" w:rsidRPr="00000000">
        <w:rPr>
          <w:rFonts w:ascii="Times New Roman" w:cs="Times New Roman" w:eastAsia="Times New Roman" w:hAnsi="Times New Roman"/>
          <w:sz w:val="20"/>
          <w:szCs w:val="20"/>
          <w:rtl w:val="0"/>
        </w:rPr>
        <w:t xml:space="preserve">” means an amount which shall not exceed the aggregate Dollar Equivalent of (i) eighty-five percent (85%) of Total Eligible Toys R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24.00001525878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Receivables outstanding from time to time, plus (ii) eighty-five percent (85%) of Total Eligible Target Receivables outstanding from time to time, plus (iii) eighty percent (80%) of Eligible Domestic Receivables outstanding from time to time; plus (iv) sixty percent (60%) of the value of Eligible Domestic Inventory; plus (v) fifty-five percent (55%) of the value of Intransit Inventory; </w:t>
      </w:r>
      <w:r w:rsidDel="00000000" w:rsidR="00000000" w:rsidRPr="00000000">
        <w:rPr>
          <w:rFonts w:ascii="Times New Roman" w:cs="Times New Roman" w:eastAsia="Times New Roman" w:hAnsi="Times New Roman"/>
          <w:sz w:val="20"/>
          <w:szCs w:val="20"/>
          <w:u w:val="single"/>
          <w:rtl w:val="0"/>
        </w:rPr>
        <w:t xml:space="preserve"> provided</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 however</w:t>
      </w:r>
      <w:r w:rsidDel="00000000" w:rsidR="00000000" w:rsidRPr="00000000">
        <w:rPr>
          <w:rFonts w:ascii="Times New Roman" w:cs="Times New Roman" w:eastAsia="Times New Roman" w:hAnsi="Times New Roman"/>
          <w:sz w:val="20"/>
          <w:szCs w:val="20"/>
          <w:rtl w:val="0"/>
        </w:rPr>
        <w:t xml:space="preserve"> , the amount available for Loans against Eligible Domestic Inventory and Intransit Inventory shall not exceed the lesser of (A) fifty percent (50%) of Borrowing Base Availability under (i) through (v) above, and (B) Twenty-Three Million Dollars ($23,000,000).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24.0000152587891"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24.0000152587891"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Letter of Credit</w:t>
      </w:r>
      <w:r w:rsidDel="00000000" w:rsidR="00000000" w:rsidRPr="00000000">
        <w:rPr>
          <w:rFonts w:ascii="Times New Roman" w:cs="Times New Roman" w:eastAsia="Times New Roman" w:hAnsi="Times New Roman"/>
          <w:sz w:val="20"/>
          <w:szCs w:val="20"/>
          <w:rtl w:val="0"/>
        </w:rPr>
        <w:t xml:space="preserve">” means any standby letter of credit and any commercial letter of credit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24.0000152587891"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24.0000152587891"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Pledging Borrowers</w:t>
      </w:r>
      <w:r w:rsidDel="00000000" w:rsidR="00000000" w:rsidRPr="00000000">
        <w:rPr>
          <w:rFonts w:ascii="Times New Roman" w:cs="Times New Roman" w:eastAsia="Times New Roman" w:hAnsi="Times New Roman"/>
          <w:sz w:val="20"/>
          <w:szCs w:val="20"/>
          <w:rtl w:val="0"/>
        </w:rPr>
        <w:t xml:space="preserve">” means, collectively, SI Holdings, SI USA, Kiddopotamus and any future Borrower that pledges Collateral for the Obligations pursuant to a first-priority perfected 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24.0000152587891"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definitions of “</w:t>
      </w:r>
      <w:r w:rsidDel="00000000" w:rsidR="00000000" w:rsidRPr="00000000">
        <w:rPr>
          <w:rFonts w:ascii="Times New Roman" w:cs="Times New Roman" w:eastAsia="Times New Roman" w:hAnsi="Times New Roman"/>
          <w:sz w:val="20"/>
          <w:szCs w:val="20"/>
          <w:u w:val="single"/>
          <w:rtl w:val="0"/>
        </w:rPr>
        <w:t xml:space="preserve">Eligible Foreign Inventory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Eligible Foreign Receivable</w:t>
      </w:r>
      <w:r w:rsidDel="00000000" w:rsidR="00000000" w:rsidRPr="00000000">
        <w:rPr>
          <w:rFonts w:ascii="Times New Roman" w:cs="Times New Roman" w:eastAsia="Times New Roman" w:hAnsi="Times New Roman"/>
          <w:sz w:val="20"/>
          <w:szCs w:val="20"/>
          <w:rtl w:val="0"/>
        </w:rPr>
        <w:t xml:space="preserve">” set forth in</w:t>
      </w:r>
      <w:r w:rsidDel="00000000" w:rsidR="00000000" w:rsidRPr="00000000">
        <w:rPr>
          <w:rFonts w:ascii="Times New Roman" w:cs="Times New Roman" w:eastAsia="Times New Roman" w:hAnsi="Times New Roman"/>
          <w:b w:val="1"/>
          <w:sz w:val="20"/>
          <w:szCs w:val="20"/>
          <w:rtl w:val="0"/>
        </w:rPr>
        <w:t xml:space="preserve"> Section 1.01</w:t>
      </w:r>
      <w:r w:rsidDel="00000000" w:rsidR="00000000" w:rsidRPr="00000000">
        <w:rPr>
          <w:rFonts w:ascii="Times New Roman" w:cs="Times New Roman" w:eastAsia="Times New Roman" w:hAnsi="Times New Roman"/>
          <w:sz w:val="20"/>
          <w:szCs w:val="20"/>
          <w:rtl w:val="0"/>
        </w:rPr>
        <w:t xml:space="preserve">  of the Credit Agreement are hereby deleted from the Credit Agreement in their entirety.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Exhibit F</w:t>
      </w:r>
      <w:r w:rsidDel="00000000" w:rsidR="00000000" w:rsidRPr="00000000">
        <w:rPr>
          <w:rFonts w:ascii="Times New Roman" w:cs="Times New Roman" w:eastAsia="Times New Roman" w:hAnsi="Times New Roman"/>
          <w:sz w:val="20"/>
          <w:szCs w:val="20"/>
          <w:rtl w:val="0"/>
        </w:rPr>
        <w:t xml:space="preserve"> to the Credit Agreement is hereby amended to read in its entirety in the form of </w:t>
      </w:r>
      <w:r w:rsidDel="00000000" w:rsidR="00000000" w:rsidRPr="00000000">
        <w:rPr>
          <w:rFonts w:ascii="Times New Roman" w:cs="Times New Roman" w:eastAsia="Times New Roman" w:hAnsi="Times New Roman"/>
          <w:sz w:val="20"/>
          <w:szCs w:val="20"/>
          <w:u w:val="single"/>
          <w:rtl w:val="0"/>
        </w:rPr>
        <w:t xml:space="preserve">Annex A</w:t>
      </w:r>
      <w:r w:rsidDel="00000000" w:rsidR="00000000" w:rsidRPr="00000000">
        <w:rPr>
          <w:rFonts w:ascii="Times New Roman" w:cs="Times New Roman" w:eastAsia="Times New Roman" w:hAnsi="Times New Roman"/>
          <w:sz w:val="20"/>
          <w:szCs w:val="20"/>
          <w:rtl w:val="0"/>
        </w:rPr>
        <w:t xml:space="preserve"> attached hereto and made in part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Borrowers and the Agent shall execute such agreements and documents as the Agent shall reasonably require in order to limit the security interests granted by the Borrowers in the capital stock of SI Asia, SI Europe and SI Canada to a pledge of not more than sixty-five percent (65%) of the capital stock of each of such subsidiaries held by the Borrowers, and the Borrowers shall execute and deliver to the Agent such additional agreements as the Agent shall reasonably request from time to time to grant and perfect such security interests in such portion of the capital stock of each of such subsidiaries.  Except for the modification set forth in the preceding sentence, all other security interests granted by the Borrowers in and to the Collateral described in the Security Agreement shall remain in full force and effect and are in all respects hereby ratified and affirmed by the Borrowers.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Borrowers shall pay all reasonable expenses incurred by the Agent in the drafting, negotiation and closing of the documents and transactions contemplated hereby, including the reasonable fees and disbursements of the Agent’s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references to the Credit Agreement in the Note and the Security Documents shall be deemed to refer to the Credit Agreement, as amended by this Amendment and any other amendments which may be executed.  All references in the Loan Documents to “the Notes” shall be deemed to refer to the Notes, as amended by this Amendment.  This Amendment shall constitute a “Loan Document” as defined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Borrowers hereby warrant that all of the representations and warranties contained in Article III of the Credit Agreement are true and correct as of the date hereof and that no Event of Default has occurred and is continuing or would result by the execution of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would constitute such an Event of Default but for the requirement that notice be given or time elapse or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This Amendment may be executed in several counterparts, each of which when executed and delivered is an original, but all of which together shall constitute one instrument.  In making proof of this Amendment, it shall not be necessary to produce or account for more than one such counterpart executed by the party against whom enforcement of this Amendment is sought.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Except as modified and amended hereby, the Credit Agreement shall remain in full force and effect and is in all other respects ratified and confirmed by the Borrowers, the Lenders and the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next page is the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24.0000152587891"/>
        <w:contextualSpacing w:val="0"/>
        <w:rPr>
          <w:sz w:val="20"/>
          <w:szCs w:val="20"/>
        </w:rPr>
      </w:pPr>
      <w:r w:rsidDel="00000000" w:rsidR="00000000" w:rsidRPr="00000000">
        <w:rPr>
          <w:sz w:val="20"/>
          <w:szCs w:val="20"/>
          <w:rtl w:val="0"/>
        </w:rPr>
        <w:t xml:space="preserve">IN WITNESS WHEREOF, the parties hereto have caused this Amendment to be duly executed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2"/>
        <w:tblW w:w="9266.4" w:type="dxa"/>
        <w:jc w:val="left"/>
        <w:tblInd w:w="0.0" w:type="pct"/>
        <w:tblLayout w:type="fixed"/>
        <w:tblLook w:val="0600"/>
      </w:tblPr>
      <w:tblGrid>
        <w:gridCol w:w="4680"/>
        <w:gridCol w:w="561.5999999999999"/>
        <w:gridCol w:w="4024.8"/>
        <w:tblGridChange w:id="0">
          <w:tblGrid>
            <w:gridCol w:w="4680"/>
            <w:gridCol w:w="561.5999999999999"/>
            <w:gridCol w:w="402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BANK OF AMERICA, N.A., as Administrative Agent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i w:val="1"/>
                <w:sz w:val="20"/>
                <w:szCs w:val="20"/>
              </w:rPr>
            </w:pPr>
            <w:r w:rsidDel="00000000" w:rsidR="00000000" w:rsidRPr="00000000">
              <w:rPr>
                <w:i w:val="1"/>
                <w:sz w:val="20"/>
                <w:szCs w:val="20"/>
                <w:rtl w:val="0"/>
              </w:rPr>
              <w:t xml:space="preserve">/s/ Brenda Little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Brenda H. Little, Vice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BANK OF AMERICA, N.A., as a Lender, Swing Line Lender and L/C Issuer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i w:val="1"/>
                <w:sz w:val="20"/>
                <w:szCs w:val="20"/>
              </w:rPr>
            </w:pPr>
            <w:r w:rsidDel="00000000" w:rsidR="00000000" w:rsidRPr="00000000">
              <w:rPr>
                <w:i w:val="1"/>
                <w:sz w:val="20"/>
                <w:szCs w:val="20"/>
                <w:rtl w:val="0"/>
              </w:rPr>
              <w:t xml:space="preserve">/s/ David Angell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David J. Angell, Senior Vice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RSB CITIZENS, NATIONAL ASSOCIATION, as a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i w:val="1"/>
                <w:sz w:val="20"/>
                <w:szCs w:val="20"/>
              </w:rPr>
            </w:pPr>
            <w:r w:rsidDel="00000000" w:rsidR="00000000" w:rsidRPr="00000000">
              <w:rPr>
                <w:i w:val="1"/>
                <w:sz w:val="20"/>
                <w:szCs w:val="20"/>
                <w:rtl w:val="0"/>
              </w:rPr>
              <w:t xml:space="preserve">/s/ Robert Kent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 Robert R. Kent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   Senior Vice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BANK RHODE ISLAND, as a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i w:val="1"/>
                <w:sz w:val="20"/>
                <w:szCs w:val="20"/>
              </w:rPr>
            </w:pPr>
            <w:r w:rsidDel="00000000" w:rsidR="00000000" w:rsidRPr="00000000">
              <w:rPr>
                <w:i w:val="1"/>
                <w:sz w:val="20"/>
                <w:szCs w:val="20"/>
                <w:rtl w:val="0"/>
              </w:rPr>
              <w:t xml:space="preserve">/s/ Peter J. Difilippo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 Peter J. Difilippo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   Senior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3"/>
        <w:tblW w:w="9266.4" w:type="dxa"/>
        <w:jc w:val="left"/>
        <w:tblInd w:w="0.0" w:type="pct"/>
        <w:tblLayout w:type="fixed"/>
        <w:tblLook w:val="0600"/>
      </w:tblPr>
      <w:tblGrid>
        <w:gridCol w:w="4680"/>
        <w:gridCol w:w="561.5999999999999"/>
        <w:gridCol w:w="4024.8"/>
        <w:tblGridChange w:id="0">
          <w:tblGrid>
            <w:gridCol w:w="4680"/>
            <w:gridCol w:w="561.5999999999999"/>
            <w:gridCol w:w="402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BORROWERS: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SUMMER INFANT (USA),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i w:val="1"/>
                <w:sz w:val="20"/>
                <w:szCs w:val="20"/>
              </w:rPr>
            </w:pPr>
            <w:r w:rsidDel="00000000" w:rsidR="00000000" w:rsidRPr="00000000">
              <w:rPr>
                <w:i w:val="1"/>
                <w:sz w:val="20"/>
                <w:szCs w:val="20"/>
                <w:rtl w:val="0"/>
              </w:rPr>
              <w:t xml:space="preserve">/s/ Jason Macari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Jason P. Macari,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SUMMER INFANT,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i w:val="1"/>
                <w:sz w:val="20"/>
                <w:szCs w:val="20"/>
              </w:rPr>
            </w:pPr>
            <w:r w:rsidDel="00000000" w:rsidR="00000000" w:rsidRPr="00000000">
              <w:rPr>
                <w:i w:val="1"/>
                <w:sz w:val="20"/>
                <w:szCs w:val="20"/>
                <w:rtl w:val="0"/>
              </w:rPr>
              <w:t xml:space="preserve">/s/ Jason Macari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Jason P. Macari,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KIDDOPOTAMUS &amp;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i w:val="1"/>
                <w:sz w:val="20"/>
                <w:szCs w:val="20"/>
              </w:rPr>
            </w:pPr>
            <w:r w:rsidDel="00000000" w:rsidR="00000000" w:rsidRPr="00000000">
              <w:rPr>
                <w:i w:val="1"/>
                <w:sz w:val="20"/>
                <w:szCs w:val="20"/>
                <w:rtl w:val="0"/>
              </w:rPr>
              <w:t xml:space="preserve">/s/ Jason Macari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Acknowledged and Agreed: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SUMMER INFANT EUROPE LIMITED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i w:val="1"/>
                <w:sz w:val="20"/>
                <w:szCs w:val="20"/>
              </w:rPr>
            </w:pPr>
            <w:r w:rsidDel="00000000" w:rsidR="00000000" w:rsidRPr="00000000">
              <w:rPr>
                <w:i w:val="1"/>
                <w:sz w:val="20"/>
                <w:szCs w:val="20"/>
                <w:rtl w:val="0"/>
              </w:rPr>
              <w:t xml:space="preserve">/s/ Jason Macari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Jason P. Macari,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SUMMER INFANT ASIA LIMITED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i w:val="1"/>
                <w:sz w:val="20"/>
                <w:szCs w:val="20"/>
              </w:rPr>
            </w:pPr>
            <w:r w:rsidDel="00000000" w:rsidR="00000000" w:rsidRPr="00000000">
              <w:rPr>
                <w:i w:val="1"/>
                <w:sz w:val="20"/>
                <w:szCs w:val="20"/>
                <w:rtl w:val="0"/>
              </w:rPr>
              <w:t xml:space="preserve">/s/ Jason Macari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Jason P. Macari,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SUMMER INFANT CANADA LIMITED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i w:val="1"/>
                <w:sz w:val="20"/>
                <w:szCs w:val="20"/>
              </w:rPr>
            </w:pPr>
            <w:r w:rsidDel="00000000" w:rsidR="00000000" w:rsidRPr="00000000">
              <w:rPr>
                <w:i w:val="1"/>
                <w:sz w:val="20"/>
                <w:szCs w:val="20"/>
                <w:rtl w:val="0"/>
              </w:rPr>
              <w:t xml:space="preserve">/s/ Jason Macari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Jason P. Macari,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ANNEX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EXHIBIT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FORM OF BORROWING BASE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SUMMER INFANT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MONTH-END COLLATERAL REPORT AND BORROWING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Month-ending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REVOLVING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9359.999999999998" w:type="dxa"/>
        <w:jc w:val="left"/>
        <w:tblInd w:w="0.0" w:type="pct"/>
        <w:tblLayout w:type="fixed"/>
        <w:tblLook w:val="0600"/>
      </w:tblPr>
      <w:tblGrid>
        <w:gridCol w:w="525.7417186749879"/>
        <w:gridCol w:w="6747.01872299568"/>
        <w:gridCol w:w="374.4599135861738"/>
        <w:gridCol w:w="374.4599135861738"/>
        <w:gridCol w:w="963.8598175708113"/>
        <w:gridCol w:w="374.4599135861738"/>
        <w:tblGridChange w:id="0">
          <w:tblGrid>
            <w:gridCol w:w="525.7417186749879"/>
            <w:gridCol w:w="6747.01872299568"/>
            <w:gridCol w:w="374.4599135861738"/>
            <w:gridCol w:w="374.4599135861738"/>
            <w:gridCol w:w="963.8598175708113"/>
            <w:gridCol w:w="374.4599135861738"/>
          </w:tblGrid>
        </w:tblGridChange>
      </w:tblGrid>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u w:val="single"/>
                <w:shd w:fill="auto" w:val="clear"/>
                <w:rtl w:val="0"/>
              </w:rPr>
              <w:t xml:space="preserve">DOMESTIC ACCOUNTS RECEIVABLE</w:t>
            </w:r>
            <w:r w:rsidDel="00000000" w:rsidR="00000000" w:rsidRPr="00000000">
              <w:rPr>
                <w:rFonts w:ascii="Times New Roman" w:cs="Times New Roman" w:eastAsia="Times New Roman" w:hAnsi="Times New Roman"/>
                <w:b w:val="1"/>
                <w:sz w:val="20"/>
                <w:szCs w:val="20"/>
                <w:shd w:fill="auto" w:val="clear"/>
                <w:rtl w:val="0"/>
              </w:rPr>
              <w:t xml:space="preserve">(Excluding Target/Toys R Us)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End of Month Balance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Ineligible Accounts Receivable, Determined without Duplication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Net Eligible Accounts Receivable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b w:val="1"/>
                <w:sz w:val="20"/>
                <w:szCs w:val="20"/>
                <w:u w:val="single"/>
                <w:shd w:fill="auto" w:val="clear"/>
              </w:rPr>
            </w:pPr>
            <w:r w:rsidDel="00000000" w:rsidR="00000000" w:rsidRPr="00000000">
              <w:rPr>
                <w:rFonts w:ascii="Times New Roman" w:cs="Times New Roman" w:eastAsia="Times New Roman" w:hAnsi="Times New Roman"/>
                <w:b w:val="1"/>
                <w:sz w:val="20"/>
                <w:szCs w:val="20"/>
                <w:u w:val="single"/>
                <w:shd w:fill="auto" w:val="clear"/>
                <w:rtl w:val="0"/>
              </w:rPr>
              <w:t xml:space="preserve">ELIGIBLE TARGET RECEIVABLES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End of Month Balance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Ineligible Accounts Receivable, Determined without Duplication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Net Eligible Accounts Receivable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 Eligible Target Receivables (98% of Line 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b w:val="1"/>
                <w:sz w:val="20"/>
                <w:szCs w:val="20"/>
                <w:u w:val="single"/>
                <w:shd w:fill="auto" w:val="clear"/>
              </w:rPr>
            </w:pPr>
            <w:r w:rsidDel="00000000" w:rsidR="00000000" w:rsidRPr="00000000">
              <w:rPr>
                <w:rFonts w:ascii="Times New Roman" w:cs="Times New Roman" w:eastAsia="Times New Roman" w:hAnsi="Times New Roman"/>
                <w:b w:val="1"/>
                <w:sz w:val="20"/>
                <w:szCs w:val="20"/>
                <w:u w:val="single"/>
                <w:shd w:fill="auto" w:val="clear"/>
                <w:rtl w:val="0"/>
              </w:rPr>
              <w:t xml:space="preserve">ELIGIBLE TOYS R US RECEIVABLES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End of Month Balance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Ineligible Accounts Receivable, Determined without Duplication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Net Eligible Accounts Receivable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 Eligible Toys R Us Receivables (86% of Line 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b w:val="1"/>
                <w:sz w:val="20"/>
                <w:szCs w:val="20"/>
                <w:u w:val="single"/>
                <w:shd w:fill="auto" w:val="clear"/>
              </w:rPr>
            </w:pPr>
            <w:r w:rsidDel="00000000" w:rsidR="00000000" w:rsidRPr="00000000">
              <w:rPr>
                <w:rFonts w:ascii="Times New Roman" w:cs="Times New Roman" w:eastAsia="Times New Roman" w:hAnsi="Times New Roman"/>
                <w:b w:val="1"/>
                <w:sz w:val="20"/>
                <w:szCs w:val="20"/>
                <w:u w:val="single"/>
                <w:shd w:fill="auto" w:val="clear"/>
                <w:rtl w:val="0"/>
              </w:rPr>
              <w:t xml:space="preserve">DOMESTIC INVENTORY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Month Ending Inventory Balance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Less: Ineligible Domestic Inventory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Eligible Inventory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5"/>
        <w:tblW w:w="9360.0" w:type="dxa"/>
        <w:jc w:val="left"/>
        <w:tblInd w:w="0.0" w:type="pct"/>
        <w:tblLayout w:type="fixed"/>
        <w:tblLook w:val="0600"/>
      </w:tblPr>
      <w:tblGrid>
        <w:gridCol w:w="580.8853951179148"/>
        <w:gridCol w:w="580.8853951179148"/>
        <w:gridCol w:w="894.5635084815888"/>
        <w:gridCol w:w="309.80554406288786"/>
        <w:gridCol w:w="1150.153082333471"/>
        <w:gridCol w:w="3845.461315680596"/>
        <w:gridCol w:w="309.80554406288786"/>
        <w:gridCol w:w="309.80554406288786"/>
        <w:gridCol w:w="1068.8291270169632"/>
        <w:gridCol w:w="309.80554406288786"/>
        <w:tblGridChange w:id="0">
          <w:tblGrid>
            <w:gridCol w:w="580.8853951179148"/>
            <w:gridCol w:w="580.8853951179148"/>
            <w:gridCol w:w="894.5635084815888"/>
            <w:gridCol w:w="309.80554406288786"/>
            <w:gridCol w:w="1150.153082333471"/>
            <w:gridCol w:w="3845.461315680596"/>
            <w:gridCol w:w="309.80554406288786"/>
            <w:gridCol w:w="309.80554406288786"/>
            <w:gridCol w:w="1068.8291270169632"/>
            <w:gridCol w:w="309.80554406288786"/>
          </w:tblGrid>
        </w:tblGridChange>
      </w:tblGrid>
      <w:tr>
        <w:tc>
          <w:tcPr>
            <w:gridSpan w:val="6"/>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b w:val="1"/>
                <w:sz w:val="20"/>
                <w:szCs w:val="20"/>
                <w:u w:val="single"/>
                <w:shd w:fill="auto" w:val="clear"/>
              </w:rPr>
            </w:pPr>
            <w:r w:rsidDel="00000000" w:rsidR="00000000" w:rsidRPr="00000000">
              <w:rPr>
                <w:b w:val="1"/>
                <w:sz w:val="20"/>
                <w:szCs w:val="20"/>
                <w:u w:val="single"/>
                <w:shd w:fill="auto" w:val="clear"/>
                <w:rtl w:val="0"/>
              </w:rPr>
              <w:t xml:space="preserve">IN-TRANSIT INVENTORY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hd w:fill="auto" w:val="clear"/>
              </w:rPr>
            </w:pPr>
            <w:r w:rsidDel="00000000" w:rsidR="00000000" w:rsidRPr="00000000">
              <w:rPr>
                <w:b w:val="1"/>
                <w:shd w:fill="auto" w:val="clear"/>
                <w:rtl w:val="0"/>
              </w:rPr>
              <w:t xml:space="preserve"> </w:t>
            </w:r>
          </w:p>
        </w:tc>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hd w:fill="auto" w:val="clear"/>
              </w:rPr>
            </w:pPr>
            <w:r w:rsidDel="00000000" w:rsidR="00000000" w:rsidRPr="00000000">
              <w:rPr>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hd w:fill="auto" w:val="clear"/>
              </w:rPr>
            </w:pPr>
            <w:r w:rsidDel="00000000" w:rsidR="00000000" w:rsidRPr="00000000">
              <w:rPr>
                <w:b w:val="1"/>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15.)</w:t>
            </w:r>
          </w:p>
        </w:tc>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Month Ending Inventory Balance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16.)</w:t>
            </w:r>
          </w:p>
        </w:tc>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Less: Ineligible In-Transit Inventory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17.)</w:t>
            </w:r>
          </w:p>
        </w:tc>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Eligible In-Transit Inventory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6"/>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b w:val="1"/>
                <w:sz w:val="20"/>
                <w:szCs w:val="20"/>
                <w:u w:val="single"/>
                <w:shd w:fill="auto" w:val="clear"/>
              </w:rPr>
            </w:pPr>
            <w:r w:rsidDel="00000000" w:rsidR="00000000" w:rsidRPr="00000000">
              <w:rPr>
                <w:b w:val="1"/>
                <w:sz w:val="20"/>
                <w:szCs w:val="20"/>
                <w:u w:val="single"/>
                <w:shd w:fill="auto" w:val="clear"/>
                <w:rtl w:val="0"/>
              </w:rPr>
              <w:t xml:space="preserve">BORROWING BASE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hd w:fill="auto" w:val="clear"/>
              </w:rPr>
            </w:pPr>
            <w:r w:rsidDel="00000000" w:rsidR="00000000" w:rsidRPr="00000000">
              <w:rPr>
                <w:b w:val="1"/>
                <w:shd w:fill="auto" w:val="clear"/>
                <w:rtl w:val="0"/>
              </w:rPr>
              <w:t xml:space="preserve"> </w:t>
            </w:r>
          </w:p>
        </w:tc>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hd w:fill="auto" w:val="clear"/>
              </w:rPr>
            </w:pPr>
            <w:r w:rsidDel="00000000" w:rsidR="00000000" w:rsidRPr="00000000">
              <w:rPr>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hd w:fill="auto" w:val="clear"/>
              </w:rPr>
            </w:pPr>
            <w:r w:rsidDel="00000000" w:rsidR="00000000" w:rsidRPr="00000000">
              <w:rPr>
                <w:b w:val="1"/>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18.)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a)</w:t>
            </w:r>
          </w:p>
        </w:tc>
        <w:tc>
          <w:tcPr>
            <w:gridSpan w:val="4"/>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Domestic Accounts Receivable (80% of Line 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b)</w:t>
            </w:r>
          </w:p>
        </w:tc>
        <w:tc>
          <w:tcPr>
            <w:gridSpan w:val="4"/>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Target Receivables (85% of Line 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c)</w:t>
            </w:r>
          </w:p>
        </w:tc>
        <w:tc>
          <w:tcPr>
            <w:gridSpan w:val="4"/>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Toys R Us Receivables (85% of Line 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d)</w:t>
            </w:r>
          </w:p>
        </w:tc>
        <w:tc>
          <w:tcPr>
            <w:gridSpan w:val="4"/>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Domestic Inventory (60% of Line 14)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e)</w:t>
            </w:r>
          </w:p>
        </w:tc>
        <w:tc>
          <w:tcPr>
            <w:gridSpan w:val="4"/>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Intransit Inventory (55% of Line 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19.)</w:t>
            </w:r>
          </w:p>
        </w:tc>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Inventory Availability (Lesser of Lines 18d + 18e OR $ 23,000,000)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20.)</w:t>
            </w:r>
          </w:p>
        </w:tc>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Gross Availability (Lines 18a + 18b + 18c + 19)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21.)</w:t>
            </w:r>
          </w:p>
        </w:tc>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Lesser of Line 20 or $46,000,000 (Line Limit)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6"/>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b w:val="1"/>
                <w:sz w:val="20"/>
                <w:szCs w:val="20"/>
                <w:u w:val="single"/>
                <w:shd w:fill="auto" w:val="clear"/>
              </w:rPr>
            </w:pPr>
            <w:r w:rsidDel="00000000" w:rsidR="00000000" w:rsidRPr="00000000">
              <w:rPr>
                <w:b w:val="1"/>
                <w:sz w:val="20"/>
                <w:szCs w:val="20"/>
                <w:u w:val="single"/>
                <w:shd w:fill="auto" w:val="clear"/>
                <w:rtl w:val="0"/>
              </w:rPr>
              <w:t xml:space="preserve">LOAN DETAIL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hd w:fill="auto" w:val="clear"/>
              </w:rPr>
            </w:pPr>
            <w:r w:rsidDel="00000000" w:rsidR="00000000" w:rsidRPr="00000000">
              <w:rPr>
                <w:b w:val="1"/>
                <w:shd w:fill="auto" w:val="clear"/>
                <w:rtl w:val="0"/>
              </w:rPr>
              <w:t xml:space="preserve"> </w:t>
            </w:r>
          </w:p>
        </w:tc>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hd w:fill="auto" w:val="clear"/>
              </w:rPr>
            </w:pPr>
            <w:r w:rsidDel="00000000" w:rsidR="00000000" w:rsidRPr="00000000">
              <w:rPr>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hd w:fill="auto" w:val="clear"/>
              </w:rPr>
            </w:pPr>
            <w:r w:rsidDel="00000000" w:rsidR="00000000" w:rsidRPr="00000000">
              <w:rPr>
                <w:b w:val="1"/>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hd w:fill="auto" w:val="clear"/>
              </w:rPr>
            </w:pPr>
            <w:r w:rsidDel="00000000" w:rsidR="00000000" w:rsidRPr="00000000">
              <w:rPr>
                <w:shd w:fill="auto" w:val="clear"/>
                <w:rtl w:val="0"/>
              </w:rPr>
              <w:t xml:space="preserve"> </w:t>
            </w:r>
          </w:p>
        </w:tc>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Prime Rate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hd w:fill="auto" w:val="clear"/>
              </w:rPr>
            </w:pPr>
            <w:r w:rsidDel="00000000" w:rsidR="00000000" w:rsidRPr="00000000">
              <w:rPr>
                <w:shd w:fill="auto" w:val="clear"/>
                <w:rtl w:val="0"/>
              </w:rPr>
              <w:t xml:space="preserve"> </w:t>
            </w:r>
          </w:p>
        </w:tc>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LIBOR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hd w:fill="auto" w:val="clear"/>
              </w:rPr>
            </w:pPr>
            <w:r w:rsidDel="00000000" w:rsidR="00000000" w:rsidRPr="00000000">
              <w:rPr>
                <w:shd w:fill="auto" w:val="clear"/>
                <w:rtl w:val="0"/>
              </w:rPr>
              <w:t xml:space="preserve"> </w:t>
            </w:r>
          </w:p>
        </w:tc>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Other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22.)</w:t>
            </w:r>
          </w:p>
        </w:tc>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Total Loans Outstanding at Month-End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shd w:fill="auto" w:val="clear"/>
              </w:rPr>
            </w:pPr>
            <w:r w:rsidDel="00000000" w:rsidR="00000000" w:rsidRPr="00000000">
              <w:rPr>
                <w:sz w:val="20"/>
                <w:szCs w:val="20"/>
                <w:shd w:fill="auto" w:val="clear"/>
                <w:rtl w:val="0"/>
              </w:rPr>
              <w:t xml:space="preserve">23.)</w:t>
            </w:r>
          </w:p>
        </w:tc>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Net Borrowing Base Availability (Line 21 minus Line 22)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The undersigned represents and warrants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          The information provided above and in the accompanying supporting documentation is true and correct, and complies fully with the conditions, terms and covenants of the Credit Agreement dated April 10, 2008 as amended to the date (the “Agreement”) between the undersigned and Bank of America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           Since the date of the last financial statement or certification furnished to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24.0000152587891" w:firstLine="0"/>
        <w:contextualSpacing w:val="0"/>
        <w:rPr>
          <w:sz w:val="20"/>
          <w:szCs w:val="20"/>
        </w:rPr>
      </w:pPr>
      <w:r w:rsidDel="00000000" w:rsidR="00000000" w:rsidRPr="00000000">
        <w:rPr>
          <w:sz w:val="20"/>
          <w:szCs w:val="20"/>
          <w:rtl w:val="0"/>
        </w:rPr>
        <w:t xml:space="preserve">(i)            There has been no material adverse change in the financial condition or operations of the undersigned,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24.0000152587891" w:firstLine="0"/>
        <w:contextualSpacing w:val="0"/>
        <w:rPr>
          <w:sz w:val="20"/>
          <w:szCs w:val="20"/>
        </w:rPr>
      </w:pPr>
      <w:r w:rsidDel="00000000" w:rsidR="00000000" w:rsidRPr="00000000">
        <w:rPr>
          <w:sz w:val="20"/>
          <w:szCs w:val="20"/>
          <w:rtl w:val="0"/>
        </w:rPr>
        <w:t xml:space="preserve">(ii)           There is no event which is, or with notice or lapse of time or both would be, a default under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Summer Infant,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6"/>
        <w:tblW w:w="9360.0" w:type="dxa"/>
        <w:jc w:val="left"/>
        <w:tblInd w:w="0.0" w:type="pct"/>
        <w:tblLayout w:type="fixed"/>
        <w:tblLook w:val="0600"/>
      </w:tblPr>
      <w:tblGrid>
        <w:gridCol w:w="301.9354838709678"/>
        <w:gridCol w:w="3019.3548387096776"/>
        <w:gridCol w:w="3019.3548387096776"/>
        <w:gridCol w:w="3019.3548387096776"/>
        <w:tblGridChange w:id="0">
          <w:tblGrid>
            <w:gridCol w:w="301.9354838709678"/>
            <w:gridCol w:w="3019.3548387096776"/>
            <w:gridCol w:w="3019.3548387096776"/>
            <w:gridCol w:w="3019.35483870967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Print Name:</w:t>
            </w:r>
          </w:p>
        </w:tc>
        <w:tc>
          <w:tcPr>
            <w:tcBorders>
              <w:top w:color="000000" w:space="0" w:sz="8" w:val="single"/>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Date:</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