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 TO GUARANTY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SUPPLEMENT TO GUARANTY AGREEMENT (this “</w:t>
      </w:r>
      <w:r w:rsidDel="00000000" w:rsidR="00000000" w:rsidRPr="00000000">
        <w:rPr>
          <w:rFonts w:ascii="Times New Roman" w:cs="Times New Roman" w:eastAsia="Times New Roman" w:hAnsi="Times New Roman"/>
          <w:sz w:val="20"/>
          <w:szCs w:val="20"/>
          <w:u w:val="single"/>
          <w:rtl w:val="0"/>
        </w:rPr>
        <w:t xml:space="preserve">Supplement</w:t>
      </w:r>
      <w:r w:rsidDel="00000000" w:rsidR="00000000" w:rsidRPr="00000000">
        <w:rPr>
          <w:rFonts w:ascii="Times New Roman" w:cs="Times New Roman" w:eastAsia="Times New Roman" w:hAnsi="Times New Roman"/>
          <w:sz w:val="20"/>
          <w:szCs w:val="20"/>
          <w:rtl w:val="0"/>
        </w:rPr>
        <w:t xml:space="preserve">”) is entered into among the Borrower (defined below), the Administrative Agent (defined below) and the New Guarantor (defined below) as of December 31, 2009, as a supplement to that certain Guaranty Agreement dated as of October 1, 2008 (as amended, supplemented or otherwise modified from time to time, the “</w:t>
      </w:r>
      <w:r w:rsidDel="00000000" w:rsidR="00000000" w:rsidRPr="00000000">
        <w:rPr>
          <w:rFonts w:ascii="Times New Roman" w:cs="Times New Roman" w:eastAsia="Times New Roman" w:hAnsi="Times New Roman"/>
          <w:sz w:val="20"/>
          <w:szCs w:val="20"/>
          <w:u w:val="single"/>
          <w:rtl w:val="0"/>
        </w:rPr>
        <w:t xml:space="preserve">Guaranty Agreement</w:t>
      </w:r>
      <w:r w:rsidDel="00000000" w:rsidR="00000000" w:rsidRPr="00000000">
        <w:rPr>
          <w:rFonts w:ascii="Times New Roman" w:cs="Times New Roman" w:eastAsia="Times New Roman" w:hAnsi="Times New Roman"/>
          <w:sz w:val="20"/>
          <w:szCs w:val="20"/>
          <w:rtl w:val="0"/>
        </w:rPr>
        <w:t xml:space="preserve">”) among WILLIS NORTH AMERICA INC., a Delaware corporation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WILLIS GROUP HOLDINGS LIMITED, an exempted company under the Companies Act 1981 of Bermuda (“</w:t>
      </w:r>
      <w:r w:rsidDel="00000000" w:rsidR="00000000" w:rsidRPr="00000000">
        <w:rPr>
          <w:rFonts w:ascii="Times New Roman" w:cs="Times New Roman" w:eastAsia="Times New Roman" w:hAnsi="Times New Roman"/>
          <w:sz w:val="20"/>
          <w:szCs w:val="20"/>
          <w:u w:val="single"/>
          <w:rtl w:val="0"/>
        </w:rPr>
        <w:t xml:space="preserve">WGHL</w:t>
      </w:r>
      <w:r w:rsidDel="00000000" w:rsidR="00000000" w:rsidRPr="00000000">
        <w:rPr>
          <w:rFonts w:ascii="Times New Roman" w:cs="Times New Roman" w:eastAsia="Times New Roman" w:hAnsi="Times New Roman"/>
          <w:sz w:val="20"/>
          <w:szCs w:val="20"/>
          <w:rtl w:val="0"/>
        </w:rPr>
        <w:t xml:space="preserve">” or, subject to substitution thereof in accordance with </w:t>
      </w:r>
      <w:r w:rsidDel="00000000" w:rsidR="00000000" w:rsidRPr="00000000">
        <w:rPr>
          <w:rFonts w:ascii="Times New Roman" w:cs="Times New Roman" w:eastAsia="Times New Roman" w:hAnsi="Times New Roman"/>
          <w:sz w:val="20"/>
          <w:szCs w:val="20"/>
          <w:u w:val="single"/>
          <w:rtl w:val="0"/>
        </w:rPr>
        <w:t xml:space="preserve">Section 10.20</w:t>
      </w:r>
      <w:r w:rsidDel="00000000" w:rsidR="00000000" w:rsidRPr="00000000">
        <w:rPr>
          <w:rFonts w:ascii="Times New Roman" w:cs="Times New Roman" w:eastAsia="Times New Roman" w:hAnsi="Times New Roman"/>
          <w:sz w:val="20"/>
          <w:szCs w:val="20"/>
          <w:rtl w:val="0"/>
        </w:rPr>
        <w:t xml:space="preserve"> of the Credit Agreement (defined below), the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each Subsidiary constituting a “Guarantor” thereunder as of date hereof (each of WGHL and each such Subsidiary, individually, a “</w:t>
      </w:r>
      <w:r w:rsidDel="00000000" w:rsidR="00000000" w:rsidRPr="00000000">
        <w:rPr>
          <w:rFonts w:ascii="Times New Roman" w:cs="Times New Roman" w:eastAsia="Times New Roman" w:hAnsi="Times New Roman"/>
          <w:sz w:val="20"/>
          <w:szCs w:val="20"/>
          <w:u w:val="single"/>
          <w:rtl w:val="0"/>
        </w:rPr>
        <w:t xml:space="preserve">Guarantor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Guarantors</w:t>
      </w:r>
      <w:r w:rsidDel="00000000" w:rsidR="00000000" w:rsidRPr="00000000">
        <w:rPr>
          <w:rFonts w:ascii="Times New Roman" w:cs="Times New Roman" w:eastAsia="Times New Roman" w:hAnsi="Times New Roman"/>
          <w:sz w:val="20"/>
          <w:szCs w:val="20"/>
          <w:rtl w:val="0"/>
        </w:rPr>
        <w:t xml:space="preserve">”) and BANK OF AMERICA, N.A., as administrative agent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Reference is made to the Credit Agreement dated as of October 1, 2008 (as amended, supplemented or otherwise modified from time to time,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among the Borrower, the Parent, the Lenders from time to time party thereto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Capitalized terms used herein and not otherwise defined herein shall have the meanings assigned to such terms in the Credit Agreement and the Guaranty Agreement,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Guarantors have entered into the Guaranty Agreement in order to induce the Lenders to make Loans. In accordance with the terms of the Credit Agreement and as consideration for Loans thereunder, WILLIS GROUP HOLDINGS PUBLIC LIMITED COMPANY, a company incorporated under the laws of Ireland having company number 475616 (the “</w:t>
      </w:r>
      <w:r w:rsidDel="00000000" w:rsidR="00000000" w:rsidRPr="00000000">
        <w:rPr>
          <w:rFonts w:ascii="Times New Roman" w:cs="Times New Roman" w:eastAsia="Times New Roman" w:hAnsi="Times New Roman"/>
          <w:sz w:val="20"/>
          <w:szCs w:val="20"/>
          <w:u w:val="single"/>
          <w:rtl w:val="0"/>
        </w:rPr>
        <w:t xml:space="preserve">New Guarantor</w:t>
      </w:r>
      <w:r w:rsidDel="00000000" w:rsidR="00000000" w:rsidRPr="00000000">
        <w:rPr>
          <w:rFonts w:ascii="Times New Roman" w:cs="Times New Roman" w:eastAsia="Times New Roman" w:hAnsi="Times New Roman"/>
          <w:sz w:val="20"/>
          <w:szCs w:val="20"/>
          <w:rtl w:val="0"/>
        </w:rPr>
        <w:t xml:space="preserve">”), is required to execute this Supplement to become a Guarantor under the Guaranty Agreement and to acknowledge its role as the successor Parent under the Credit Agreement and the other Loan Documents upon the occurrence of the Parent Effective Date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New Guarantor will derive substantial benefits from the extension of credit to the Borrower pursuant to the Credit Agreement and is willing to execute and deliver this Supplement as consideration for Loans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Accordingly, the Borrower, the Administrative Agent and the New Guarantor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As of the date hereof, the New Guarantor by its execution of this Supplement shall become a Guarantor under the Guaranty Agreement and the other Loan Documents with the same force and effect as if originally named therein as a Guarantor, and the New Guarantor hereby (a) agrees to all the terms and provisions of the Guaranty Agreement and the other Loan Documents applicable to it as a Guarantor thereunder and (b) represents and warrants that the representations and warranties made by it as a Guarantor thereunder are true and correct on and as of the date hereof. Each reference to a “Guarantor” in the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and the other Loan Documents shall be deemed to include the New Guarantor. The Guaranty Agreement is hereby incorporated 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As provided in </w:t>
      </w:r>
      <w:r w:rsidDel="00000000" w:rsidR="00000000" w:rsidRPr="00000000">
        <w:rPr>
          <w:rFonts w:ascii="Times New Roman" w:cs="Times New Roman" w:eastAsia="Times New Roman" w:hAnsi="Times New Roman"/>
          <w:sz w:val="20"/>
          <w:szCs w:val="20"/>
          <w:u w:val="single"/>
          <w:rtl w:val="0"/>
        </w:rPr>
        <w:t xml:space="preserve">Section 10.20</w:t>
      </w:r>
      <w:r w:rsidDel="00000000" w:rsidR="00000000" w:rsidRPr="00000000">
        <w:rPr>
          <w:rFonts w:ascii="Times New Roman" w:cs="Times New Roman" w:eastAsia="Times New Roman" w:hAnsi="Times New Roman"/>
          <w:sz w:val="20"/>
          <w:szCs w:val="20"/>
          <w:rtl w:val="0"/>
        </w:rPr>
        <w:t xml:space="preserve"> of the Credit Agreement, on the date on which the New Guarantor shall own, directly or indirectly, any Equity Interests in the Borrower and shall be the publicly held indirect parent company of the Borrower in lieu of WGHL (the “</w:t>
      </w:r>
      <w:r w:rsidDel="00000000" w:rsidR="00000000" w:rsidRPr="00000000">
        <w:rPr>
          <w:rFonts w:ascii="Times New Roman" w:cs="Times New Roman" w:eastAsia="Times New Roman" w:hAnsi="Times New Roman"/>
          <w:sz w:val="20"/>
          <w:szCs w:val="20"/>
          <w:u w:val="single"/>
          <w:rtl w:val="0"/>
        </w:rPr>
        <w:t xml:space="preserve">Parent Effective Date</w:t>
      </w:r>
      <w:r w:rsidDel="00000000" w:rsidR="00000000" w:rsidRPr="00000000">
        <w:rPr>
          <w:rFonts w:ascii="Times New Roman" w:cs="Times New Roman" w:eastAsia="Times New Roman" w:hAnsi="Times New Roman"/>
          <w:sz w:val="20"/>
          <w:szCs w:val="20"/>
          <w:rtl w:val="0"/>
        </w:rPr>
        <w:t xml:space="preserve">”), the New Guarantor shall automatically become “the Parent” under the Credit Agreement and the other Loan Documents, in substitution for WGHL as the predecessor Parent, with the same force and effect as if originally named therein as the Parent. As of the Parent Effective Date, the New Guarantor (a) acknowledges and agrees that it shall accede to and shall be the Parent under the Credit Agreement, and shall be subject to all the terms and provisions of the Credit Agreement and the other Loan Documents applicable to the Parent, and (b) represents and warrants that the representations and warranties made by the New Guarantor as Parent thereunder are true and correct. As of the Parent Effective Date, each reference to the “Parent” in the Guaranty Agreement and the other Loan Documents shall be deemed to reference the New Guarantor. The Borrower agrees to provide the Administrative Agent prompt written notice as to the Parent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By their respective execution hereof, each of the Borrower and the New Guarantor represents and warrants that (a) none of the execution, delivery and performance by the New Guarantor of this Supplement, or the performance by the New Guarantor of its obligations and duties under the Guaranty Agreement, constitutes financial assistance for the purposes of Section 60 of the Companies Act, 1963 (as amended) (Ireland) (“</w:t>
      </w:r>
      <w:r w:rsidDel="00000000" w:rsidR="00000000" w:rsidRPr="00000000">
        <w:rPr>
          <w:rFonts w:ascii="Times New Roman" w:cs="Times New Roman" w:eastAsia="Times New Roman" w:hAnsi="Times New Roman"/>
          <w:sz w:val="20"/>
          <w:szCs w:val="20"/>
          <w:u w:val="single"/>
          <w:rtl w:val="0"/>
        </w:rPr>
        <w:t xml:space="preserve">Section 60</w:t>
      </w:r>
      <w:r w:rsidDel="00000000" w:rsidR="00000000" w:rsidRPr="00000000">
        <w:rPr>
          <w:rFonts w:ascii="Times New Roman" w:cs="Times New Roman" w:eastAsia="Times New Roman" w:hAnsi="Times New Roman"/>
          <w:sz w:val="20"/>
          <w:szCs w:val="20"/>
          <w:rtl w:val="0"/>
        </w:rPr>
        <w:t xml:space="preserve">”) or contravenes Section 60, and (b) none of the proceeds of the facilities made available by the Lenders pursuant to the Credit Agreement have been or will be used in any way which would constitute the giving of financial assistance or which would result in the Credit Agreement, this Supplement, the Guaranty Agreement or any other Loan Document, or any transactions hereunder or thereunder, contravening Section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The New Guarantor represents and warrants to the Administrative Agent and the other Guaranteed Parties that this Supplement has been duly authorized, executed and delivered by it and constitutes its legal, valid and binding obligation, enforceable against it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This Supplement may be executed in counterparts (and by different parties hereto on different counterparts), each of which shall constitute an original, but all of which when taken together shall constitute a single contract. This Supplement shall become effective when the Administrative Agent shall have received (a) one or more counterparts of this Supplement that bear the signature of the Borrower and the New Guarantor, and the Administrative Agent has executed a counterpart hereof, and (b) such documents of the types referred to in clauses (iii), (iv) and (v) of </w:t>
      </w:r>
      <w:r w:rsidDel="00000000" w:rsidR="00000000" w:rsidRPr="00000000">
        <w:rPr>
          <w:rFonts w:ascii="Times New Roman" w:cs="Times New Roman" w:eastAsia="Times New Roman" w:hAnsi="Times New Roman"/>
          <w:sz w:val="20"/>
          <w:szCs w:val="20"/>
          <w:u w:val="single"/>
          <w:rtl w:val="0"/>
        </w:rPr>
        <w:t xml:space="preserve">Section 4.01(a)</w:t>
      </w:r>
      <w:r w:rsidDel="00000000" w:rsidR="00000000" w:rsidRPr="00000000">
        <w:rPr>
          <w:rFonts w:ascii="Times New Roman" w:cs="Times New Roman" w:eastAsia="Times New Roman" w:hAnsi="Times New Roman"/>
          <w:sz w:val="20"/>
          <w:szCs w:val="20"/>
          <w:rtl w:val="0"/>
        </w:rPr>
        <w:t xml:space="preserve"> of the Credit Agreement (including opinions of local counsel in relevant jurisdictions for the New Guarantor) as the Administrative Agent may have requested in accordance with the Guaranty Agreement or the Credit Agreement. Delivery of an executed signature page to this Supplement by facsimile transmission or other electronic imaging means shall be as effective as delivery of a manually signed counterpart of this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 As supplemented hereby, the Guaranty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 Notwithstanding anything to the contrary contained in this Supplement, the Guaranty Agreement or the Loan Documents, in the event that the guarantee obligations expressed to be assumed by the New Guarantor pursuant to this Supplement, the Guaranty Agreement and the Loan Documents are held to constitute unlawful financial assistance within the meaning of Section 60 (such obligations the “Financial Assistance Guaranty Obligations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such Financial Assistance Guaranty Obligations, to the extent that they are voidable or unenforceable under Irish law, shall be deemed not to form part of the obligations assumed by the New Guarantor pursuant to this Supplement, the Guaranty Agreement and the Loan Documents. Each of the Borrower, the New Guarantor and the Administrative Agent hereby agrees and acknowledges that the enforceability and validity of the remainder of the obligations assumed by the New Guarantor pursuant to this Supplement, the Guaranty Agreement, or the Loan Documents, or any of them, shall not be affected by the Financial Assistance Guaranty Obligations being rendered voidable or unenforceable, and this Supplement, the Guaranty Agreement and the Loan Documents shall be construed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 The guarantees and indemnities granted by the New Guarantor under this Supplement, the Guaranty Agreement and the Loan Documents shall only apply to the extent that the Borrower or such other Guarantor is a subsidiary of the New Guarantor. As of the Parent Effective Date, the New Guarantor and the Borrower represent, warrant and consent that the New Guarantor is a holding company of the Borrower and each other Guarantor. For the purposes of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the terms “holding company” and “subsidiary” shall have the meanings given to them in Section 155 of the Companies Act, 1963 (as amended) (Ireland).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 THIS SUPPLEMENT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 Without prejudice to Section 7 above, in case any one or more of the provisions contained in this Supplement should be held invalid, illegal or unenforceable in any respect, the validity, legality and enforceability of the remaining provisions contained herein, in the Guaranty Agreement and/or in the Credit Agreement or any other Loan Document shall not in any way be affected or impaired thereby (it being understood that the invalidity of a particular provision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All communications and notices hereunder shall be in writing and given as provided in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 The Borrower and the New Guarantor agree to reimburse the Administrative Agent for its reasonable out-of-pocket expenses in connection with this Supplement, including the reasonable fees, other charges and disbursements of counsel for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 Set forth on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hereto are the New Guarantor’s true and correct (a) unique identification number that has been issued by its jurisdiction of organization and the name of such jurisdiction and (b) mailing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Borrower, the New Guarantor and the Administrative Agent have duly executed this Supplement to Guaranty Agreement as of the day and year first above written.</w:t>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NORTH AMERICA INC., as the Borrower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Donald J. Bailey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Donald J. Bailey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GIVEN </w:t>
      </w:r>
      <w:r w:rsidDel="00000000" w:rsidR="00000000" w:rsidRPr="00000000">
        <w:rPr>
          <w:rFonts w:ascii="Times New Roman" w:cs="Times New Roman" w:eastAsia="Times New Roman" w:hAnsi="Times New Roman"/>
          <w:sz w:val="20"/>
          <w:szCs w:val="20"/>
          <w:rtl w:val="0"/>
        </w:rPr>
        <w:t xml:space="preserve">under the common seal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PUBLIC LIMITED COMPANY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Patrick C. Regan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MEMBER OF THE SEALING COMMITTEE</w:t>
      </w:r>
    </w:p>
    <w:tbl>
      <w:tblPr>
        <w:tblStyle w:val="Table2"/>
        <w:tblW w:w="9359.999999999998" w:type="dxa"/>
        <w:jc w:val="left"/>
        <w:tblInd w:w="0.0" w:type="pct"/>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David Malloy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Solicitor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Arthur Cox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Adam G. Ciongoli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SECRETARY/ MEMBER OF THE SEALING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Administrative Agent</w:t>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Aamir Saleem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Aamir Saleem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Supplement to Guaranty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Signature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 TO GUARANTY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plc)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64.316682375118"/>
        <w:gridCol w:w="367.57775683317624"/>
        <w:gridCol w:w="2064.316682375118"/>
        <w:gridCol w:w="367.57775683317624"/>
        <w:gridCol w:w="2064.316682375118"/>
        <w:gridCol w:w="367.57775683317624"/>
        <w:gridCol w:w="2064.316682375118"/>
        <w:tblGridChange w:id="0">
          <w:tblGrid>
            <w:gridCol w:w="2064.316682375118"/>
            <w:gridCol w:w="367.57775683317624"/>
            <w:gridCol w:w="2064.316682375118"/>
            <w:gridCol w:w="367.57775683317624"/>
            <w:gridCol w:w="2064.316682375118"/>
            <w:gridCol w:w="367.57775683317624"/>
            <w:gridCol w:w="2064.316682375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Registered 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HOLDINGS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475616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Ireland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Grand Mill Quay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Barrow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Dublin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Ireland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