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FIRST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First Supplemental Indenture, dated as of December 9, 2009 (this “First</w:t>
      </w:r>
      <w:r w:rsidDel="00000000" w:rsidR="00000000" w:rsidRPr="00000000">
        <w:rPr>
          <w:rFonts w:ascii="times new roman" w:cs="times new roman" w:eastAsia="times new roman" w:hAnsi="times new roman"/>
          <w:b w:val="1"/>
          <w:sz w:val="20"/>
          <w:szCs w:val="20"/>
          <w:u w:val="single"/>
          <w:rtl w:val="0"/>
        </w:rPr>
        <w:t xml:space="preserve"> </w:t>
      </w:r>
      <w:r w:rsidDel="00000000" w:rsidR="00000000" w:rsidRPr="00000000">
        <w:rPr>
          <w:rFonts w:ascii="times new roman" w:cs="times new roman" w:eastAsia="times new roman" w:hAnsi="times new roman"/>
          <w:sz w:val="20"/>
          <w:szCs w:val="20"/>
          <w:u w:val="single"/>
          <w:rtl w:val="0"/>
        </w:rPr>
        <w:t xml:space="preserve">Supplemental Indenture</w:t>
      </w:r>
      <w:r w:rsidDel="00000000" w:rsidR="00000000" w:rsidRPr="00000000">
        <w:rPr>
          <w:rFonts w:ascii="times new roman" w:cs="times new roman" w:eastAsia="times new roman" w:hAnsi="times new roman"/>
          <w:sz w:val="20"/>
          <w:szCs w:val="20"/>
          <w:rtl w:val="0"/>
        </w:rPr>
        <w:t xml:space="preserve">”), is by and among BCF Cards, Inc., a Virginia corporation (“</w:t>
      </w:r>
      <w:r w:rsidDel="00000000" w:rsidR="00000000" w:rsidRPr="00000000">
        <w:rPr>
          <w:rFonts w:ascii="times new roman" w:cs="times new roman" w:eastAsia="times new roman" w:hAnsi="times new roman"/>
          <w:sz w:val="20"/>
          <w:szCs w:val="20"/>
          <w:u w:val="single"/>
          <w:rtl w:val="0"/>
        </w:rPr>
        <w:t xml:space="preserve">BCF Cards</w:t>
      </w:r>
      <w:r w:rsidDel="00000000" w:rsidR="00000000" w:rsidRPr="00000000">
        <w:rPr>
          <w:rFonts w:ascii="times new roman" w:cs="times new roman" w:eastAsia="times new roman" w:hAnsi="times new roman"/>
          <w:sz w:val="20"/>
          <w:szCs w:val="20"/>
          <w:rtl w:val="0"/>
        </w:rPr>
        <w:t xml:space="preserve">”), Burlington Coat Factory of Hawaii, LLC, a Hawaii limited liability company (“</w:t>
      </w:r>
      <w:r w:rsidDel="00000000" w:rsidR="00000000" w:rsidRPr="00000000">
        <w:rPr>
          <w:rFonts w:ascii="times new roman" w:cs="times new roman" w:eastAsia="times new roman" w:hAnsi="times new roman"/>
          <w:sz w:val="20"/>
          <w:szCs w:val="20"/>
          <w:u w:val="single"/>
          <w:rtl w:val="0"/>
        </w:rPr>
        <w:t xml:space="preserve">BCF Hawaii</w:t>
      </w:r>
      <w:r w:rsidDel="00000000" w:rsidR="00000000" w:rsidRPr="00000000">
        <w:rPr>
          <w:rFonts w:ascii="times new roman" w:cs="times new roman" w:eastAsia="times new roman" w:hAnsi="times new roman"/>
          <w:sz w:val="20"/>
          <w:szCs w:val="20"/>
          <w:rtl w:val="0"/>
        </w:rPr>
        <w:t xml:space="preserve">”), Burlington Coat Factory of Mississippi, LLC, a Mississippi limited liability company (“</w:t>
      </w:r>
      <w:r w:rsidDel="00000000" w:rsidR="00000000" w:rsidRPr="00000000">
        <w:rPr>
          <w:rFonts w:ascii="times new roman" w:cs="times new roman" w:eastAsia="times new roman" w:hAnsi="times new roman"/>
          <w:sz w:val="20"/>
          <w:szCs w:val="20"/>
          <w:u w:val="single"/>
          <w:rtl w:val="0"/>
        </w:rPr>
        <w:t xml:space="preserve">BCF Mississippi</w:t>
      </w:r>
      <w:r w:rsidDel="00000000" w:rsidR="00000000" w:rsidRPr="00000000">
        <w:rPr>
          <w:rFonts w:ascii="times new roman" w:cs="times new roman" w:eastAsia="times new roman" w:hAnsi="times new roman"/>
          <w:sz w:val="20"/>
          <w:szCs w:val="20"/>
          <w:rtl w:val="0"/>
        </w:rPr>
        <w:t xml:space="preserve">”), Burlington Coat Factory of Montana, LLC, a Montana limited liability company (“</w:t>
      </w:r>
      <w:r w:rsidDel="00000000" w:rsidR="00000000" w:rsidRPr="00000000">
        <w:rPr>
          <w:rFonts w:ascii="times new roman" w:cs="times new roman" w:eastAsia="times new roman" w:hAnsi="times new roman"/>
          <w:sz w:val="20"/>
          <w:szCs w:val="20"/>
          <w:u w:val="single"/>
          <w:rtl w:val="0"/>
        </w:rPr>
        <w:t xml:space="preserve">BCF Montana</w:t>
      </w:r>
      <w:r w:rsidDel="00000000" w:rsidR="00000000" w:rsidRPr="00000000">
        <w:rPr>
          <w:rFonts w:ascii="times new roman" w:cs="times new roman" w:eastAsia="times new roman" w:hAnsi="times new roman"/>
          <w:sz w:val="20"/>
          <w:szCs w:val="20"/>
          <w:rtl w:val="0"/>
        </w:rPr>
        <w:t xml:space="preserve">”), Burlington Coat Factory of Puerto Rico, LLC, a Puerto Rico limited liability company (“</w:t>
      </w:r>
      <w:r w:rsidDel="00000000" w:rsidR="00000000" w:rsidRPr="00000000">
        <w:rPr>
          <w:rFonts w:ascii="times new roman" w:cs="times new roman" w:eastAsia="times new roman" w:hAnsi="times new roman"/>
          <w:sz w:val="20"/>
          <w:szCs w:val="20"/>
          <w:u w:val="single"/>
          <w:rtl w:val="0"/>
        </w:rPr>
        <w:t xml:space="preserve">BCF Puerto Rico</w:t>
      </w:r>
      <w:r w:rsidDel="00000000" w:rsidR="00000000" w:rsidRPr="00000000">
        <w:rPr>
          <w:rFonts w:ascii="times new roman" w:cs="times new roman" w:eastAsia="times new roman" w:hAnsi="times new roman"/>
          <w:sz w:val="20"/>
          <w:szCs w:val="20"/>
          <w:rtl w:val="0"/>
        </w:rPr>
        <w:t xml:space="preserve">”), Burlington Coat Factory of Rhode Island, a Rhode Island limited liability company (“</w:t>
      </w:r>
      <w:r w:rsidDel="00000000" w:rsidR="00000000" w:rsidRPr="00000000">
        <w:rPr>
          <w:rFonts w:ascii="times new roman" w:cs="times new roman" w:eastAsia="times new roman" w:hAnsi="times new roman"/>
          <w:sz w:val="20"/>
          <w:szCs w:val="20"/>
          <w:u w:val="single"/>
          <w:rtl w:val="0"/>
        </w:rPr>
        <w:t xml:space="preserve">BCF Rhode Island</w:t>
      </w:r>
      <w:r w:rsidDel="00000000" w:rsidR="00000000" w:rsidRPr="00000000">
        <w:rPr>
          <w:rFonts w:ascii="times new roman" w:cs="times new roman" w:eastAsia="times new roman" w:hAnsi="times new roman"/>
          <w:sz w:val="20"/>
          <w:szCs w:val="20"/>
          <w:rtl w:val="0"/>
        </w:rPr>
        <w:t xml:space="preserve">”), Burlington Coat Factory of South Dakota, LLC, a South Dakota limited liability company (“</w:t>
      </w:r>
      <w:r w:rsidDel="00000000" w:rsidR="00000000" w:rsidRPr="00000000">
        <w:rPr>
          <w:rFonts w:ascii="times new roman" w:cs="times new roman" w:eastAsia="times new roman" w:hAnsi="times new roman"/>
          <w:sz w:val="20"/>
          <w:szCs w:val="20"/>
          <w:u w:val="single"/>
          <w:rtl w:val="0"/>
        </w:rPr>
        <w:t xml:space="preserve">BCF South Dakota</w:t>
      </w:r>
      <w:r w:rsidDel="00000000" w:rsidR="00000000" w:rsidRPr="00000000">
        <w:rPr>
          <w:rFonts w:ascii="times new roman" w:cs="times new roman" w:eastAsia="times new roman" w:hAnsi="times new roman"/>
          <w:sz w:val="20"/>
          <w:szCs w:val="20"/>
          <w:rtl w:val="0"/>
        </w:rPr>
        <w:t xml:space="preserve">”), Burlington Coat Factory of Vermont, LLC, a Vermont limited liability company (“</w:t>
      </w:r>
      <w:r w:rsidDel="00000000" w:rsidR="00000000" w:rsidRPr="00000000">
        <w:rPr>
          <w:rFonts w:ascii="times new roman" w:cs="times new roman" w:eastAsia="times new roman" w:hAnsi="times new roman"/>
          <w:sz w:val="20"/>
          <w:szCs w:val="20"/>
          <w:u w:val="single"/>
          <w:rtl w:val="0"/>
        </w:rPr>
        <w:t xml:space="preserve">BCF Vermont</w:t>
      </w:r>
      <w:r w:rsidDel="00000000" w:rsidR="00000000" w:rsidRPr="00000000">
        <w:rPr>
          <w:rFonts w:ascii="times new roman" w:cs="times new roman" w:eastAsia="times new roman" w:hAnsi="times new roman"/>
          <w:sz w:val="20"/>
          <w:szCs w:val="20"/>
          <w:rtl w:val="0"/>
        </w:rPr>
        <w:t xml:space="preserve">”), Burlington Coat Factory Warehouse of Edgewater Park, Inc., a New Jersey corporation (“</w:t>
      </w:r>
      <w:r w:rsidDel="00000000" w:rsidR="00000000" w:rsidRPr="00000000">
        <w:rPr>
          <w:rFonts w:ascii="times new roman" w:cs="times new roman" w:eastAsia="times new roman" w:hAnsi="times new roman"/>
          <w:sz w:val="20"/>
          <w:szCs w:val="20"/>
          <w:u w:val="single"/>
          <w:rtl w:val="0"/>
        </w:rPr>
        <w:t xml:space="preserve">BCFW Edgewater</w:t>
      </w:r>
      <w:r w:rsidDel="00000000" w:rsidR="00000000" w:rsidRPr="00000000">
        <w:rPr>
          <w:rFonts w:ascii="times new roman" w:cs="times new roman" w:eastAsia="times new roman" w:hAnsi="times new roman"/>
          <w:sz w:val="20"/>
          <w:szCs w:val="20"/>
          <w:rtl w:val="0"/>
        </w:rPr>
        <w:t xml:space="preserve">”), and Burlington Coat Factory of Wyoming, LLC, a Wyoming limited liability company (“</w:t>
      </w:r>
      <w:r w:rsidDel="00000000" w:rsidR="00000000" w:rsidRPr="00000000">
        <w:rPr>
          <w:rFonts w:ascii="times new roman" w:cs="times new roman" w:eastAsia="times new roman" w:hAnsi="times new roman"/>
          <w:sz w:val="20"/>
          <w:szCs w:val="20"/>
          <w:u w:val="single"/>
          <w:rtl w:val="0"/>
        </w:rPr>
        <w:t xml:space="preserve">BCF Wyoming</w:t>
      </w:r>
      <w:r w:rsidDel="00000000" w:rsidR="00000000" w:rsidRPr="00000000">
        <w:rPr>
          <w:rFonts w:ascii="times new roman" w:cs="times new roman" w:eastAsia="times new roman" w:hAnsi="times new roman"/>
          <w:sz w:val="20"/>
          <w:szCs w:val="20"/>
          <w:rtl w:val="0"/>
        </w:rPr>
        <w:t xml:space="preserve">” and, together with BCF Cards, BCF Hawaii, BCF Mississippi, BCF Montana, BCF Puerto Rico, BCF Rhode Island, BCF South Dakota, BCF Vermont and BCFW Edgewater, the “</w:t>
      </w:r>
      <w:r w:rsidDel="00000000" w:rsidR="00000000" w:rsidRPr="00000000">
        <w:rPr>
          <w:rFonts w:ascii="times new roman" w:cs="times new roman" w:eastAsia="times new roman" w:hAnsi="times new roman"/>
          <w:sz w:val="20"/>
          <w:szCs w:val="20"/>
          <w:u w:val="single"/>
          <w:rtl w:val="0"/>
        </w:rPr>
        <w:t xml:space="preserve">New Guarantors</w:t>
      </w:r>
      <w:r w:rsidDel="00000000" w:rsidR="00000000" w:rsidRPr="00000000">
        <w:rPr>
          <w:rFonts w:ascii="times new roman" w:cs="times new roman" w:eastAsia="times new roman" w:hAnsi="times new roman"/>
          <w:sz w:val="20"/>
          <w:szCs w:val="20"/>
          <w:rtl w:val="0"/>
        </w:rPr>
        <w:t xml:space="preserve">” and each, a “</w:t>
      </w:r>
      <w:r w:rsidDel="00000000" w:rsidR="00000000" w:rsidRPr="00000000">
        <w:rPr>
          <w:rFonts w:ascii="times new roman" w:cs="times new roman" w:eastAsia="times new roman" w:hAnsi="times new roman"/>
          <w:sz w:val="20"/>
          <w:szCs w:val="20"/>
          <w:u w:val="single"/>
          <w:rtl w:val="0"/>
        </w:rPr>
        <w:t xml:space="preserve">New Guarantor</w:t>
      </w:r>
      <w:r w:rsidDel="00000000" w:rsidR="00000000" w:rsidRPr="00000000">
        <w:rPr>
          <w:rFonts w:ascii="times new roman" w:cs="times new roman" w:eastAsia="times new roman" w:hAnsi="times new roman"/>
          <w:sz w:val="20"/>
          <w:szCs w:val="20"/>
          <w:rtl w:val="0"/>
        </w:rPr>
        <w:t xml:space="preserve">”), Burlington Coat Factory Warehouse Corporation, a Delaware corporation (together with its successors and assigns,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each other then existing Guarantor under the Indenture referred to below (the “</w:t>
      </w:r>
      <w:r w:rsidDel="00000000" w:rsidR="00000000" w:rsidRPr="00000000">
        <w:rPr>
          <w:rFonts w:ascii="times new roman" w:cs="times new roman" w:eastAsia="times new roman" w:hAnsi="times new roman"/>
          <w:sz w:val="20"/>
          <w:szCs w:val="20"/>
          <w:u w:val="single"/>
          <w:rtl w:val="0"/>
        </w:rPr>
        <w:t xml:space="preserve">Guarantors</w:t>
      </w:r>
      <w:r w:rsidDel="00000000" w:rsidR="00000000" w:rsidRPr="00000000">
        <w:rPr>
          <w:rFonts w:ascii="times new roman" w:cs="times new roman" w:eastAsia="times new roman" w:hAnsi="times new roman"/>
          <w:sz w:val="20"/>
          <w:szCs w:val="20"/>
          <w:rtl w:val="0"/>
        </w:rPr>
        <w:t xml:space="preserve">”), and Wells Fargo Bank, N.A., Trustee under the Indenture referred to below.  Capitalized terms used and not defined herein shall have the same meanings given in the Indenture unless otherwise indicated.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72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I T N E S S E T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Company, the Guarantors and the Trustee have heretofore executed and delivered an Indenture, dated as of April 13, 2006 (as amended, supplemented, waived or otherwise modified, the “</w:t>
      </w:r>
      <w:r w:rsidDel="00000000" w:rsidR="00000000" w:rsidRPr="00000000">
        <w:rPr>
          <w:rFonts w:ascii="times new roman" w:cs="times new roman" w:eastAsia="times new roman" w:hAnsi="times new roman"/>
          <w:sz w:val="20"/>
          <w:szCs w:val="20"/>
          <w:u w:val="single"/>
          <w:rtl w:val="0"/>
        </w:rPr>
        <w:t xml:space="preserve">Indenture</w:t>
      </w:r>
      <w:r w:rsidDel="00000000" w:rsidR="00000000" w:rsidRPr="00000000">
        <w:rPr>
          <w:rFonts w:ascii="times new roman" w:cs="times new roman" w:eastAsia="times new roman" w:hAnsi="times new roman"/>
          <w:sz w:val="20"/>
          <w:szCs w:val="20"/>
          <w:rtl w:val="0"/>
        </w:rPr>
        <w:t xml:space="preserve">”), providing for the issuance of 11 ⅛% Senior Notes due 2014 of the Company (the “</w:t>
      </w:r>
      <w:r w:rsidDel="00000000" w:rsidR="00000000" w:rsidRPr="00000000">
        <w:rPr>
          <w:rFonts w:ascii="times new roman" w:cs="times new roman" w:eastAsia="times new roman" w:hAnsi="times new roman"/>
          <w:sz w:val="20"/>
          <w:szCs w:val="20"/>
          <w:u w:val="single"/>
          <w:rtl w:val="0"/>
        </w:rPr>
        <w:t xml:space="preserve">Notes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pursuant to Section 11.9 of the Indenture, each Restricted Subsidiary is required, within ten (10) days of becoming a Restricted Subsidiary, to execute and deliver to the Trustee a supplemental indenture and other agreements making such Subsidiary a party to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pursuant to Section 4.17 of the Indenture, the Company is required to cause each Restricted Subsidiary that guarantees any Indebtedness of the Company or any of the Guarantors to execute and deliver to the Trustee a supplemental indenture pursuant to which such Restricted Subsidiary will Guarantee the Company’s obligations under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each of the New Guarantors is a Restricted Subsidiary of the Company and has guaranteed Indebtedness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pursuant to Section 9.1 of the Indenture, the Trustee, the Company and the Guarantors are authorized to execute and deliver this First Supplemental Indenture to amend the Indenture, without the consent of any Holder;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by entering into this First Supplemental Indenture, the Company, the Guarantors and the Trustee have consented to amend the Indenture in accordance with the terms and conditions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foregoing and for other good and valuable consideration, the receipt of which is hereby acknowledged, the New Guarantors, the Guarantors, the Company and the Trustee mutually covenant and agree for the equal and ratable benefit of the Holders of the Notes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                      </w:t>
      </w:r>
      <w:r w:rsidDel="00000000" w:rsidR="00000000" w:rsidRPr="00000000">
        <w:rPr>
          <w:rFonts w:ascii="times new roman" w:cs="times new roman" w:eastAsia="times new roman" w:hAnsi="times new roman"/>
          <w:sz w:val="20"/>
          <w:szCs w:val="20"/>
          <w:u w:val="single"/>
          <w:rtl w:val="0"/>
        </w:rPr>
        <w:t xml:space="preserve">Agreement to be Bound</w:t>
      </w:r>
      <w:r w:rsidDel="00000000" w:rsidR="00000000" w:rsidRPr="00000000">
        <w:rPr>
          <w:rFonts w:ascii="times new roman" w:cs="times new roman" w:eastAsia="times new roman" w:hAnsi="times new roman"/>
          <w:sz w:val="20"/>
          <w:szCs w:val="20"/>
          <w:rtl w:val="0"/>
        </w:rPr>
        <w:t xml:space="preserve">.  Each New Guarantor hereby becomes a party to the Indenture as a Guarantor and as such will have all of the rights and be subject to all of the obligations and agreements of a Guarantor under the Indenture.  Each New Guarantor agrees to be bound by all of the provisions of the Indenture applicable to a Guarantor and to perform all of the obligations and agreements of a Guarantor under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                      </w:t>
      </w:r>
      <w:r w:rsidDel="00000000" w:rsidR="00000000" w:rsidRPr="00000000">
        <w:rPr>
          <w:rFonts w:ascii="times new roman" w:cs="times new roman" w:eastAsia="times new roman" w:hAnsi="times new roman"/>
          <w:sz w:val="20"/>
          <w:szCs w:val="20"/>
          <w:u w:val="single"/>
          <w:rtl w:val="0"/>
        </w:rPr>
        <w:t xml:space="preserve">Compliance with and Fulfillment of Condition of Sections 4.17 and 11.9</w:t>
      </w:r>
      <w:r w:rsidDel="00000000" w:rsidR="00000000" w:rsidRPr="00000000">
        <w:rPr>
          <w:rFonts w:ascii="times new roman" w:cs="times new roman" w:eastAsia="times new roman" w:hAnsi="times new roman"/>
          <w:sz w:val="20"/>
          <w:szCs w:val="20"/>
          <w:rtl w:val="0"/>
        </w:rPr>
        <w:t xml:space="preserve">.  The execution and delivery of this First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Supplemental Indenture and the Notation of Guarantee by the New Guarantors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(along with such documentation relating thereto as the Trustee shall require) fulfills the obligations of the Company under Sections 4.17 and 11.9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                      </w:t>
      </w:r>
      <w:r w:rsidDel="00000000" w:rsidR="00000000" w:rsidRPr="00000000">
        <w:rPr>
          <w:rFonts w:ascii="times new roman" w:cs="times new roman" w:eastAsia="times new roman" w:hAnsi="times new roman"/>
          <w:sz w:val="20"/>
          <w:szCs w:val="20"/>
          <w:u w:val="single"/>
          <w:rtl w:val="0"/>
        </w:rPr>
        <w:t xml:space="preserve">Ratification of Indenture; Supplemental Indenture Part of Indenture; Trustee’s Disclaimer</w:t>
      </w:r>
      <w:r w:rsidDel="00000000" w:rsidR="00000000" w:rsidRPr="00000000">
        <w:rPr>
          <w:rFonts w:ascii="times new roman" w:cs="times new roman" w:eastAsia="times new roman" w:hAnsi="times new roman"/>
          <w:sz w:val="20"/>
          <w:szCs w:val="20"/>
          <w:rtl w:val="0"/>
        </w:rPr>
        <w:t xml:space="preserve">.  Except as expressly amended hereby, the Indenture is in all respects ratified and confirmed and all the terms, conditions and provisions thereof shall remain in full force and effect.  This First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Supplemental Indenture shall form a part of the Indenture for all purposes, and every Holder of Notes heretofore or hereafter authenticated and delivered shall be bound hereby.  The Trustee makes no representation or warranty as to the validity or sufficiency of this First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Section 4.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This First Supplemental Indenture and the Notes shall be governed by and construed in accordance with the laws of the State of New York, as applied to contracts made and performed within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                      </w:t>
      </w:r>
      <w:r w:rsidDel="00000000" w:rsidR="00000000" w:rsidRPr="00000000">
        <w:rPr>
          <w:rFonts w:ascii="times new roman" w:cs="times new roman" w:eastAsia="times new roman" w:hAnsi="times new roman"/>
          <w:sz w:val="20"/>
          <w:szCs w:val="20"/>
          <w:u w:val="single"/>
          <w:rtl w:val="0"/>
        </w:rPr>
        <w:t xml:space="preserve">No Adverse Interpretation of Other Agreements</w:t>
      </w:r>
      <w:r w:rsidDel="00000000" w:rsidR="00000000" w:rsidRPr="00000000">
        <w:rPr>
          <w:rFonts w:ascii="times new roman" w:cs="times new roman" w:eastAsia="times new roman" w:hAnsi="times new roman"/>
          <w:sz w:val="20"/>
          <w:szCs w:val="20"/>
          <w:rtl w:val="0"/>
        </w:rPr>
        <w:t xml:space="preserve">.  This First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Supplemental Indenture may not be used to interpret any other indenture, loan or debt agreement of the Company or its Subsidiaries (other than the Indenture).  No such indenture, loan or debt agreement may be used to interpret this First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Supplemental Indenture or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                      </w:t>
      </w:r>
      <w:r w:rsidDel="00000000" w:rsidR="00000000" w:rsidRPr="00000000">
        <w:rPr>
          <w:rFonts w:ascii="times new roman" w:cs="times new roman" w:eastAsia="times new roman" w:hAnsi="times new roman"/>
          <w:sz w:val="20"/>
          <w:szCs w:val="20"/>
          <w:u w:val="single"/>
          <w:rtl w:val="0"/>
        </w:rPr>
        <w:t xml:space="preserve">Successors</w:t>
      </w:r>
      <w:r w:rsidDel="00000000" w:rsidR="00000000" w:rsidRPr="00000000">
        <w:rPr>
          <w:rFonts w:ascii="times new roman" w:cs="times new roman" w:eastAsia="times new roman" w:hAnsi="times new roman"/>
          <w:sz w:val="20"/>
          <w:szCs w:val="20"/>
          <w:rtl w:val="0"/>
        </w:rPr>
        <w:t xml:space="preserve">.  This First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Supplemental Indenture shall be binding upon and inure to the benefit of the parties hereto and their respective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                      </w:t>
      </w:r>
      <w:r w:rsidDel="00000000" w:rsidR="00000000" w:rsidRPr="00000000">
        <w:rPr>
          <w:rFonts w:ascii="times new roman" w:cs="times new roman" w:eastAsia="times new roman" w:hAnsi="times new roman"/>
          <w:sz w:val="20"/>
          <w:szCs w:val="20"/>
          <w:u w:val="single"/>
          <w:rtl w:val="0"/>
        </w:rPr>
        <w:t xml:space="preserve">Separability</w:t>
      </w:r>
      <w:r w:rsidDel="00000000" w:rsidR="00000000" w:rsidRPr="00000000">
        <w:rPr>
          <w:rFonts w:ascii="times new roman" w:cs="times new roman" w:eastAsia="times new roman" w:hAnsi="times new roman"/>
          <w:sz w:val="20"/>
          <w:szCs w:val="20"/>
          <w:rtl w:val="0"/>
        </w:rPr>
        <w:t xml:space="preserve">.  Each provision of this First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Supplemental Indenture shall be considered separable and if for any reason any provision which is not essential to the effectuation of the basic purpose of this First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Supplemental Indenture or the Notes shall be invalid, illegal or unenforceable, the validity, legality and enforceability of the remaining provisions shall not in any way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                      </w:t>
      </w:r>
      <w:r w:rsidDel="00000000" w:rsidR="00000000" w:rsidRPr="00000000">
        <w:rPr>
          <w:rFonts w:ascii="times new roman" w:cs="times new roman" w:eastAsia="times new roman" w:hAnsi="times new roman"/>
          <w:sz w:val="20"/>
          <w:szCs w:val="20"/>
          <w:u w:val="single"/>
          <w:rtl w:val="0"/>
        </w:rPr>
        <w:t xml:space="preserve">Counterpart Originals</w:t>
      </w:r>
      <w:r w:rsidDel="00000000" w:rsidR="00000000" w:rsidRPr="00000000">
        <w:rPr>
          <w:rFonts w:ascii="times new roman" w:cs="times new roman" w:eastAsia="times new roman" w:hAnsi="times new roman"/>
          <w:sz w:val="20"/>
          <w:szCs w:val="20"/>
          <w:rtl w:val="0"/>
        </w:rPr>
        <w:t xml:space="preserve">.  The parties may sign multiple counterparts of this First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Supplemental  Indenture.  Each signed counterpart shall be deemed an original, but all of them together represent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                      </w:t>
      </w:r>
      <w:r w:rsidDel="00000000" w:rsidR="00000000" w:rsidRPr="00000000">
        <w:rPr>
          <w:rFonts w:ascii="times new roman" w:cs="times new roman" w:eastAsia="times new roman" w:hAnsi="times new roman"/>
          <w:sz w:val="20"/>
          <w:szCs w:val="20"/>
          <w:u w:val="single"/>
          <w:rtl w:val="0"/>
        </w:rPr>
        <w:t xml:space="preserve">Headings, etc</w:t>
      </w:r>
      <w:r w:rsidDel="00000000" w:rsidR="00000000" w:rsidRPr="00000000">
        <w:rPr>
          <w:rFonts w:ascii="times new roman" w:cs="times new roman" w:eastAsia="times new roman" w:hAnsi="times new roman"/>
          <w:sz w:val="20"/>
          <w:szCs w:val="20"/>
          <w:rtl w:val="0"/>
        </w:rPr>
        <w:t xml:space="preserve">.  The headings of the Sections of this First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Supplemental Indenture have been inserted for convenience of reference only, are not to be considered a part of this First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Supplemental  Indenture and shall in no way modify or restrict any of the terms or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have caused this First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Supplemental Indenture to be duly executed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BCF CARDS, INC., as a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Executive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HAWAII, LLC, as a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Executive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MISSISSIPPI, LLC, as a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Executive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MONTANA, LLC, as a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Executive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PUERTO RICO, LLC, as a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Executive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RHODE ISLAND, LLC, as a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Executive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SOUTH DAKOTA, LLC, as a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Executive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VERMONT, LLC, as a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Executive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WAREHOUSE OF EDGEWATER PARK, INC. as a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Executive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WYOMING, LLC, as a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Executive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OF THE SUBSIDIARIES LISTED ON </w:t>
      </w:r>
      <w:r w:rsidDel="00000000" w:rsidR="00000000" w:rsidRPr="00000000">
        <w:rPr>
          <w:rFonts w:ascii="times new roman" w:cs="times new roman" w:eastAsia="times new roman" w:hAnsi="times new roman"/>
          <w:sz w:val="20"/>
          <w:szCs w:val="20"/>
          <w:u w:val="single"/>
          <w:rtl w:val="0"/>
        </w:rPr>
        <w:t xml:space="preserve">ANNEX A</w:t>
      </w:r>
      <w:r w:rsidDel="00000000" w:rsidR="00000000" w:rsidRPr="00000000">
        <w:rPr>
          <w:rFonts w:ascii="times new roman" w:cs="times new roman" w:eastAsia="times new roman" w:hAnsi="times new roman"/>
          <w:sz w:val="20"/>
          <w:szCs w:val="20"/>
          <w:rtl w:val="0"/>
        </w:rPr>
        <w:t xml:space="preserve"> HERETO, as Guarantors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Executive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WAREHOUSE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Executive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INVESTMENTS HOLDINGS, as a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Paul 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Executive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WELLS FARGO BANK, N.A., as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 Raymond Delli Colli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Raymond Delli Colli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ANNEX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tbl>
      <w:tblPr>
        <w:tblStyle w:val="Table1"/>
        <w:tblW w:w="8143.2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9.6"/>
        <w:gridCol w:w="2433.6000000000004"/>
        <w:tblGridChange w:id="0">
          <w:tblGrid>
            <w:gridCol w:w="5709.6"/>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Guarantors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Jurisdiction of Organization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Alabama,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Alabama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Huntsville,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Alabama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Warehouse of Anchorage,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Alaska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Arizona,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Arizona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Mesa,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Arizona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Desert Sky,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Arizona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Arkansas,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Arkansas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California,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California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Warehouse of San Bernardino,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California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Baby Depot of California,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California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MJM Designer Shoes of California,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California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Dublin,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California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Florin,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California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Ventura,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California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Colorado,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Colorado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Connecticut,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Connecticut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Cohoes Fashions of Connecticut,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Connecticut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Realty of East Windsor,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Connecticut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Warehouse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Delaware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Delaware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Delaware,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Delaware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MJM Designer Shoes of Delaware,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Delaware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C.F.I.C.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Delaware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Texas,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Delaware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Texas,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Delaware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Purchasing,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Delaware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Florida,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Florida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MJM Designer Shoes of Florida,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Florida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University Square,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Florida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Coral Springs,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Florida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West Colonial,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Florida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Orlando,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Florida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Sarasota,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Florida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&amp; T Acquisition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Florida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Bee Ridge Plaza,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Florida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Georgia,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Georgia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Warehouse of Atlanta,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Georgia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Morrow,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Georgia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Iowa,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Iowa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Idaho,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Idaho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Illinois,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Illinois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Warehouse of East St. Louis,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Illinois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Realty of Gurnee,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Illinois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Bloomingdale,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Illinois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River Oaks,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Illinois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Indiana,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Indiana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Greenwood,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Indiana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Kansas,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Kansas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Kentucky,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Kentucky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Louisiana,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Louisiana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Maine,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Maryland,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Maryland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Massachusetts,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Massachusetts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Cohoes Fashions of Massachusetts,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Massachusetts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North Attleboro,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Massachusetts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Michigan,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Michigan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Warehouse of Detroit,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Michigan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Warehouse of Redford,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Michigan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Warehouse of Grand Rapids,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Michigan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Minnesota,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Minnesota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Missouri,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Missouri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Des Peres,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Missouri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Nebraska,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Nebraska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Nevada,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Nevada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Realty of Las Vegas,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Nevada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New Hampshire,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Hampshire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New Jersey,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Jersey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MJM Designer Shoes of New Jersey,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Jersey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Cohoes Fashions of New Jersey,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Jersey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Direct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Jersey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J M Designer Shoes of Moorestown,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Jersey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 Baby Depot of Moorestown,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Jersey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Edgewater Park,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Jersey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Paramus,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Jersey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Pinebrook,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Jersey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Warehouse of Edgewater Park Urban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Renewal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Jersey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Warehouse of New Jersey,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Jersey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New Mexico,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Mexico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New York,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MJM Designer Shoes of New York,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Cohoes Fashions of New York,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Georgetown Fashions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Monroe G. Milstein,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LC Acquisition,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Yonkers,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North Carolina,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North Carolina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North Dakota,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North Dakota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Ohio,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Ohio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Warehouse of Cleveland,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Ohio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Oklahoma,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Oklahoma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Tulsa,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Oklahoma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Oregon,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Oregon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Pennsylvania,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Pennsylvania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MJM Designer Shoes of Pennsylvania,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Pennsylvania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Warehouse of Bristol,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Pennsylvania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Warehouse of Montgomeryville,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Pennsylvania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Warehouse of Cheltenham,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Pennsylvania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Warehouse of Langhorne,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Pennsylvania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West Mifflin,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Pennsylvania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Langhorne,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Pennsylvania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Whitehall,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Pennsylvania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Factory Warehouse of Reading,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Pennsylvania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Warehouse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Pennsylvania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Cohoes Fashions of Cranston,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Rhode Island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South Carolina,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South Carolina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Warehouse of Charleston,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South Carolina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Warehouse of Memphis,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Tennessee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Warehouse of Shelby,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Tennessee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Warehouse of Hickory Commons,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Tennessee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Memphis,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Tennessee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Warehouse of Baytown,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Texas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J M Designer Shoes of Texas,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Texas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Realty of Plano,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Texas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Realty of Houston,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Texas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Westmoreland,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Texas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Bellaire,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Texas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El Paso,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Texas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Utah,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Utah</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Virginia,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Virginia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Pocono Crossing,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Virginia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Warehouse of Coliseum,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Virginia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Realty of Potomac,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Virginia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Fairfax,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Virginia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Coliseum,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Virginia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Washington,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Washington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Realty of Franklin,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Washington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West Virginia,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West Virginia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Burlington Coat Factory of Wisconsin,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Wisconsin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