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REGISTRATION RIGHTS AGREEMENT (this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January 7, 2010 by and among GOLDEN MINERALS COMPANY, a Delaware corporation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SENTIENT GLOBAL RESOURCES FUND III, L.P., a Cayman Islands exempted limited partnership, and SGRF III PARALLEL I, L.P., a Cayman Islands exempted limited partnership (the “</w:t>
      </w:r>
      <w:r w:rsidDel="00000000" w:rsidR="00000000" w:rsidRPr="00000000">
        <w:rPr>
          <w:rFonts w:ascii="Times New Roman" w:cs="Times New Roman" w:eastAsia="Times New Roman" w:hAnsi="Times New Roman"/>
          <w:i w:val="1"/>
          <w:sz w:val="20"/>
          <w:szCs w:val="20"/>
          <w:rtl w:val="0"/>
        </w:rPr>
        <w:t xml:space="preserve">Buyers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connection with the Common Stock Purchase Agreement by and between the Company and Buyers of even date herewith (the “</w:t>
      </w:r>
      <w:r w:rsidDel="00000000" w:rsidR="00000000" w:rsidRPr="00000000">
        <w:rPr>
          <w:rFonts w:ascii="Times New Roman" w:cs="Times New Roman" w:eastAsia="Times New Roman" w:hAnsi="Times New Roman"/>
          <w:i w:val="1"/>
          <w:sz w:val="20"/>
          <w:szCs w:val="20"/>
          <w:rtl w:val="0"/>
        </w:rPr>
        <w:t xml:space="preserve">Purchase Agreement</w:t>
      </w:r>
      <w:r w:rsidDel="00000000" w:rsidR="00000000" w:rsidRPr="00000000">
        <w:rPr>
          <w:rFonts w:ascii="Times New Roman" w:cs="Times New Roman" w:eastAsia="Times New Roman" w:hAnsi="Times New Roman"/>
          <w:sz w:val="20"/>
          <w:szCs w:val="20"/>
          <w:rtl w:val="0"/>
        </w:rPr>
        <w:t xml:space="preserve">”), the Company has agreed, upon the terms and subject to the conditions of the Purchase Agreement, to issue and sell to Buyers and Buyers have agreed to purchase, shares of the Company’s authorized but unissued Common Stock (the “</w:t>
      </w:r>
      <w:r w:rsidDel="00000000" w:rsidR="00000000" w:rsidRPr="00000000">
        <w:rPr>
          <w:rFonts w:ascii="Times New Roman" w:cs="Times New Roman" w:eastAsia="Times New Roman" w:hAnsi="Times New Roman"/>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induce Buyers to execute and deliver the Purchase Agreement, the Company has agreed to provide certain registration rights under the U.S. Securities Act of 1933, as amended, and the rules and regulations thereunder, and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recitals and the mutual promises, representations, warranties, and covenants set forth in this Agreement and for other good and valuable consideration, the receipt and sufficiency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terms that are defined elsewhere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with respect to any specified person, has the meaning specified in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means the Company’s common stock, 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Deferral Notice</w:t>
      </w:r>
      <w:r w:rsidDel="00000000" w:rsidR="00000000" w:rsidRPr="00000000">
        <w:rPr>
          <w:rFonts w:ascii="Times New Roman" w:cs="Times New Roman" w:eastAsia="Times New Roman" w:hAnsi="Times New Roman"/>
          <w:sz w:val="20"/>
          <w:szCs w:val="20"/>
          <w:rtl w:val="0"/>
        </w:rPr>
        <w:t xml:space="preserve">” has the meaning specified in Section 3(d)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Deferral Period</w:t>
      </w:r>
      <w:r w:rsidDel="00000000" w:rsidR="00000000" w:rsidRPr="00000000">
        <w:rPr>
          <w:rFonts w:ascii="Times New Roman" w:cs="Times New Roman" w:eastAsia="Times New Roman" w:hAnsi="Times New Roman"/>
          <w:sz w:val="20"/>
          <w:szCs w:val="20"/>
          <w:rtl w:val="0"/>
        </w:rPr>
        <w:t xml:space="preserve">” has the meaning specified in Section 3(d)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Effectiveness Deadline Date</w:t>
      </w:r>
      <w:r w:rsidDel="00000000" w:rsidR="00000000" w:rsidRPr="00000000">
        <w:rPr>
          <w:rFonts w:ascii="Times New Roman" w:cs="Times New Roman" w:eastAsia="Times New Roman" w:hAnsi="Times New Roman"/>
          <w:sz w:val="20"/>
          <w:szCs w:val="20"/>
          <w:rtl w:val="0"/>
        </w:rPr>
        <w:t xml:space="preserve">” has the meaning specified in Section 2(a)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Effectiveness Period</w:t>
      </w:r>
      <w:r w:rsidDel="00000000" w:rsidR="00000000" w:rsidRPr="00000000">
        <w:rPr>
          <w:rFonts w:ascii="Times New Roman" w:cs="Times New Roman" w:eastAsia="Times New Roman" w:hAnsi="Times New Roman"/>
          <w:sz w:val="20"/>
          <w:szCs w:val="20"/>
          <w:rtl w:val="0"/>
        </w:rPr>
        <w:t xml:space="preserve">” means the period commencing on the date the Registration Statement becomes effective and ending on the date that all Registrable Securities have ceased to be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United States Securities Exchange Act of 1934, as amended, and the rules and regulations of the SEC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Filing Deadline Date</w:t>
      </w:r>
      <w:r w:rsidDel="00000000" w:rsidR="00000000" w:rsidRPr="00000000">
        <w:rPr>
          <w:rFonts w:ascii="Times New Roman" w:cs="Times New Roman" w:eastAsia="Times New Roman" w:hAnsi="Times New Roman"/>
          <w:sz w:val="20"/>
          <w:szCs w:val="20"/>
          <w:rtl w:val="0"/>
        </w:rPr>
        <w:t xml:space="preserve">” has the meaning specified in Section 2(a)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means Buyers, any transferee or assignee thereof to whom Buyers assign their rights under this Agreement and who agrees to become bound by the provisions of this Agreement in accordance with Section 8(a) and any transferee or assignee thereof to whom a transferee or assignee assigns its rights under this Agreement and who agrees to become bound by the provisions of this Agreement in accordance with Section 8(a).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Initial Resale Registration Statement</w:t>
      </w:r>
      <w:r w:rsidDel="00000000" w:rsidR="00000000" w:rsidRPr="00000000">
        <w:rPr>
          <w:rFonts w:ascii="Times New Roman" w:cs="Times New Roman" w:eastAsia="Times New Roman" w:hAnsi="Times New Roman"/>
          <w:sz w:val="20"/>
          <w:szCs w:val="20"/>
          <w:rtl w:val="0"/>
        </w:rPr>
        <w:t xml:space="preserve">” has the meaning specified in Section 2(a)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Material Event</w:t>
      </w:r>
      <w:r w:rsidDel="00000000" w:rsidR="00000000" w:rsidRPr="00000000">
        <w:rPr>
          <w:rFonts w:ascii="Times New Roman" w:cs="Times New Roman" w:eastAsia="Times New Roman" w:hAnsi="Times New Roman"/>
          <w:sz w:val="20"/>
          <w:szCs w:val="20"/>
          <w:rtl w:val="0"/>
        </w:rPr>
        <w:t xml:space="preserve">” has the meaning specified in Section 3(d)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Notice and Questionnaire</w:t>
      </w:r>
      <w:r w:rsidDel="00000000" w:rsidR="00000000" w:rsidRPr="00000000">
        <w:rPr>
          <w:rFonts w:ascii="Times New Roman" w:cs="Times New Roman" w:eastAsia="Times New Roman" w:hAnsi="Times New Roman"/>
          <w:sz w:val="20"/>
          <w:szCs w:val="20"/>
          <w:rtl w:val="0"/>
        </w:rPr>
        <w:t xml:space="preserve">” means a written notice delivered to the Company containing substantially the information called for by the Selling Securityholder Notice and Questionnaire attached as Annex A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Notice Holder</w:t>
      </w:r>
      <w:r w:rsidDel="00000000" w:rsidR="00000000" w:rsidRPr="00000000">
        <w:rPr>
          <w:rFonts w:ascii="Times New Roman" w:cs="Times New Roman" w:eastAsia="Times New Roman" w:hAnsi="Times New Roman"/>
          <w:sz w:val="20"/>
          <w:szCs w:val="20"/>
          <w:rtl w:val="0"/>
        </w:rPr>
        <w:t xml:space="preserve">” means on any date, any Holder that has delivered a Notice and Questionnaire to the Company on or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Prospectus</w:t>
      </w:r>
      <w:r w:rsidDel="00000000" w:rsidR="00000000" w:rsidRPr="00000000">
        <w:rPr>
          <w:rFonts w:ascii="Times New Roman" w:cs="Times New Roman" w:eastAsia="Times New Roman" w:hAnsi="Times New Roman"/>
          <w:sz w:val="20"/>
          <w:szCs w:val="20"/>
          <w:rtl w:val="0"/>
        </w:rPr>
        <w:t xml:space="preserve">” means the prospectus included in any Registration Statement (including, without limitation, a prospectus that discloses information previously omitted from a prospectus filed as part of an effective registration statement in reliance upon Rule 415 promulgated under the Securities Act), as amended or supplemented by any amendment or prospectus supplement, including post-effective amendments, and all materials incorporated by reference or explicitly deemed to be incorporated by reference in such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Purchase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Registrable Securities</w:t>
      </w:r>
      <w:r w:rsidDel="00000000" w:rsidR="00000000" w:rsidRPr="00000000">
        <w:rPr>
          <w:rFonts w:ascii="Times New Roman" w:cs="Times New Roman" w:eastAsia="Times New Roman" w:hAnsi="Times New Roman"/>
          <w:sz w:val="20"/>
          <w:szCs w:val="20"/>
          <w:rtl w:val="0"/>
        </w:rPr>
        <w:t xml:space="preserve">” means the Shares issued to Buyers under the Purchase Agreement (including the Initial Shares, the Pre-IPO Shares, the Subsequent Offering Shares and the Subsequent Over-Allotment Shares, as such terms are defined in the Purchase Agreement) and any security issued with respect thereto upon any stock dividend, split, merger or similar event until, in the case of any such security, the earlier of (i) the sale of such security pursuant to Rule 144 under the Securities Act or pursuant to an effective registration statement registering such security for resale, or (ii) the first date on which the Registrable Securities may be sold pursuant to Rule 144 without being subject to the volume restrictions set forth in Rule 144(e).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any registration statement of the Company that covers any of the Registrable Securities pursuant to the provisions of this Agreement, including the Prospectus, amendments and supplements to such registration statement, including post-effective amendments, all exhibits, and all materials incorporated by reference or explicitly deemed to be incorporated by reference in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Resale Registration Statement</w:t>
      </w:r>
      <w:r w:rsidDel="00000000" w:rsidR="00000000" w:rsidRPr="00000000">
        <w:rPr>
          <w:rFonts w:ascii="Times New Roman" w:cs="Times New Roman" w:eastAsia="Times New Roman" w:hAnsi="Times New Roman"/>
          <w:sz w:val="20"/>
          <w:szCs w:val="20"/>
          <w:rtl w:val="0"/>
        </w:rPr>
        <w:t xml:space="preserve">” means the Initial Resale Registration Statement and any Subsequent Resale Registration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means Rule 144 under the Securities Act, as such Rule may be amended from time to time, or any similar or successor rule or regulation hereafter adopted by the SEC having substantially the same effect as such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 and any successor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United States Securities Act of 1933, as amended, and the rules and regulations promulgated by the SEC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Subsequent Resale Registration Statement</w:t>
      </w:r>
      <w:r w:rsidDel="00000000" w:rsidR="00000000" w:rsidRPr="00000000">
        <w:rPr>
          <w:rFonts w:ascii="Times New Roman" w:cs="Times New Roman" w:eastAsia="Times New Roman" w:hAnsi="Times New Roman"/>
          <w:sz w:val="20"/>
          <w:szCs w:val="20"/>
          <w:rtl w:val="0"/>
        </w:rPr>
        <w:t xml:space="preserve">” has the meaning specified in Section 2(b)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Resale Registration.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prepare and file or cause to be prepared and filed with the SEC no later than May 31, 2010 (the “</w:t>
      </w:r>
      <w:r w:rsidDel="00000000" w:rsidR="00000000" w:rsidRPr="00000000">
        <w:rPr>
          <w:rFonts w:ascii="Times New Roman" w:cs="Times New Roman" w:eastAsia="Times New Roman" w:hAnsi="Times New Roman"/>
          <w:i w:val="1"/>
          <w:sz w:val="20"/>
          <w:szCs w:val="20"/>
          <w:rtl w:val="0"/>
        </w:rPr>
        <w:t xml:space="preserve">Filing Deadline Date</w:t>
      </w:r>
      <w:r w:rsidDel="00000000" w:rsidR="00000000" w:rsidRPr="00000000">
        <w:rPr>
          <w:rFonts w:ascii="Times New Roman" w:cs="Times New Roman" w:eastAsia="Times New Roman" w:hAnsi="Times New Roman"/>
          <w:sz w:val="20"/>
          <w:szCs w:val="20"/>
          <w:rtl w:val="0"/>
        </w:rPr>
        <w:t xml:space="preserve">”) a Registration Statement (the “</w:t>
      </w:r>
      <w:r w:rsidDel="00000000" w:rsidR="00000000" w:rsidRPr="00000000">
        <w:rPr>
          <w:rFonts w:ascii="Times New Roman" w:cs="Times New Roman" w:eastAsia="Times New Roman" w:hAnsi="Times New Roman"/>
          <w:i w:val="1"/>
          <w:sz w:val="20"/>
          <w:szCs w:val="20"/>
          <w:rtl w:val="0"/>
        </w:rPr>
        <w:t xml:space="preserve">Initial Resale Registration Statement</w:t>
      </w:r>
      <w:r w:rsidDel="00000000" w:rsidR="00000000" w:rsidRPr="00000000">
        <w:rPr>
          <w:rFonts w:ascii="Times New Roman" w:cs="Times New Roman" w:eastAsia="Times New Roman" w:hAnsi="Times New Roman"/>
          <w:sz w:val="20"/>
          <w:szCs w:val="20"/>
          <w:rtl w:val="0"/>
        </w:rPr>
        <w:t xml:space="preserve">”) registering the resale from time to time by Buyers of all of the Registrable Securities. The Initial Resale Registration Statement shall be on Form S-3 or another appropriate form permitting registration of such Registrable Securities for resale by Buyers in accordance with the methods of distribution set forth in the Initial Resale Registration Statement. The Company shall use its commercially reasonable efforts to promptly respond to comments from the SEC regarding the Initial Resale Registration Statement, to cause the Initial Resale Registration Statement to be declared effective under the Securities Act no later than September 30, 2010 (the “</w:t>
      </w:r>
      <w:r w:rsidDel="00000000" w:rsidR="00000000" w:rsidRPr="00000000">
        <w:rPr>
          <w:rFonts w:ascii="Times New Roman" w:cs="Times New Roman" w:eastAsia="Times New Roman" w:hAnsi="Times New Roman"/>
          <w:i w:val="1"/>
          <w:sz w:val="20"/>
          <w:szCs w:val="20"/>
          <w:rtl w:val="0"/>
        </w:rPr>
        <w:t xml:space="preserve">Effectiveness Deadline Date</w:t>
      </w:r>
      <w:r w:rsidDel="00000000" w:rsidR="00000000" w:rsidRPr="00000000">
        <w:rPr>
          <w:rFonts w:ascii="Times New Roman" w:cs="Times New Roman" w:eastAsia="Times New Roman" w:hAnsi="Times New Roman"/>
          <w:sz w:val="20"/>
          <w:szCs w:val="20"/>
          <w:rtl w:val="0"/>
        </w:rPr>
        <w:t xml:space="preserve">”), and to keep the Initial Resale Registration Statement (or any Subsequent Resale Registration Statement) continuously effective under the Securities Act until the expiration of the Effectiveness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Initial Resale Registration Statement or any Subsequent Resale Registration Statement ceases to be effective for any reason at any time during the Effectiveness Period, the Company shall use its commercially reasonable efforts to obtain the prompt withdrawal of any order suspending the effectiveness thereof, and in any event shall within thirty (30) days of such cessation of effectiveness amend the Resale Registration Statement in a manner reasonably expected by the Company to obtain the withdrawal of the order suspending the effectiveness thereof, or file an additional Resale Registration Statement covering all of the securities that as of the date of such filing are Registrable Securities (a “</w:t>
      </w:r>
      <w:r w:rsidDel="00000000" w:rsidR="00000000" w:rsidRPr="00000000">
        <w:rPr>
          <w:rFonts w:ascii="Times New Roman" w:cs="Times New Roman" w:eastAsia="Times New Roman" w:hAnsi="Times New Roman"/>
          <w:i w:val="1"/>
          <w:sz w:val="20"/>
          <w:szCs w:val="20"/>
          <w:rtl w:val="0"/>
        </w:rPr>
        <w:t xml:space="preserve">Subsequent Resale Registration Statement</w:t>
      </w:r>
      <w:r w:rsidDel="00000000" w:rsidR="00000000" w:rsidRPr="00000000">
        <w:rPr>
          <w:rFonts w:ascii="Times New Roman" w:cs="Times New Roman" w:eastAsia="Times New Roman" w:hAnsi="Times New Roman"/>
          <w:sz w:val="20"/>
          <w:szCs w:val="20"/>
          <w:rtl w:val="0"/>
        </w:rPr>
        <w:t xml:space="preserve">”). If a Subsequent Resale Registration Statement is filed, the Company shall use commercially reasonable efforts to cause the Subsequent Resale Registration Statement to become effective as promptly as is reasonably practicable after such filing or, if filed during a Deferral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after the expiration of such Deferral Period, and to keep such Registration Statement (or Subsequent Resale Registration Statement) continuously effective until the end of the Effectiveness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supplement and amend the Initial or any Subsequent Resale Registration Statement if required by the rules, regulations or instructions applicable to the registration form used by the Company for such Resale Registration Statement, if required by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Holder of Registrable Securities agrees that if such Holder wishes to sell Registrable Securities pursuant to a Resale Registration Statement and related Prospectus, it will do so only in accordance with this Section 2(d), Section 3(d) and Section 4. Each Holder of Registrable Securities wishing to sell Registrable Securities pursuant to any Resale Registration Statement and related Prospectus agrees to deliver a Notice and Questionnaire to the Company promptly upon becoming a Holder and notify the Company of any change in such information at least five (5) business days prior to the filing of the Initial Resale Registration Statement or Subsequent Resale Registration Statement, as applicable. From and after the date the Initial Resale Registration Statement is declared effective, the Company shall, as promptly as is reasonably practicable after the date a fully completed and legible Notice and Questionnaire is received by the Company, (i) if required by applicable law, file with the SEC a post-effective amendment to the Resale Registration Statement or prepare and, if required by applicable law, file a supplement to the related Prospectus or a supplement or amendment to any document incorporated therein by reference or file any other document required by the SEC so that the Holder delivering such Notice and Questionnaire is named as a selling security holder in the Resale Registration Statement and the related Prospectus in such a manner as to permit such Holder to deliver such Prospectus to purchasers of the Registrable Securities in accordance with applicable law (other than laws not generally applicable to all Holders of Registrable Securities wishing to sell Registrable Securities pursuant to the Resale Registration Statement and related Prospectus) and using the manner of sale specified in the Notice and Questionnaire, and, if the Company shall file a post-effective amendment to the Resale Registration Statement, use commercially reasonable efforts to cause such post-effective amendment to be declared effective under the Securities Act as promptly as is reasonably practicable; (ii) provide such Holder copies of any documents filed pursuant to Section 2(d)(i); and (iii) notify such Holder as promptly as is reasonably practicable after the effectiveness under the Securities Act of any post-effective amendment filed pursuant to Section 2(d)(i); provided, that if such Notice and Questionnaire is delivered during a Deferral Period, the Company shall so inform the Holder delivering such Notice and Questionnaire and shall take the actions set forth in clauses (i), (ii) and (iii) above upon expiration of the Deferral Period in accordance with Section 3(d), provided, further, that if under applicable law the Company has more than one option as to the type or manner of making any such filing, the Company will make the required filing or filings in the manner or of a type that is reasonably expected to result in the earliest availability of the Prospectus for effecting resales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Registrable Securities. Notwithstanding anything contained herein to the contrary, the Company shall be under no obligation to name any Holder that is not a Notice Holder as a selling security holder in any Registration Statement or related Prospectus; provided, however, that any Holder that becomes a Notice Holder pursuant to the provisions of this Section 2(d) of this Agreement (whether or not such Holder was a Notice Holder at the time the Registration Statement was initially declared effective) shall be named as a selling security holder in the Registration Statement or related Prospectus subject to and in accordance with the requirements of this Section 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 Registration Statement covering all the Registrable Securities required to be covered thereby and required to be filed by the Company pursuant to this Agreement is (A) not filed with the SEC on or before the Filing Deadline Date (a “</w:t>
      </w:r>
      <w:r w:rsidDel="00000000" w:rsidR="00000000" w:rsidRPr="00000000">
        <w:rPr>
          <w:rFonts w:ascii="Times New Roman" w:cs="Times New Roman" w:eastAsia="Times New Roman" w:hAnsi="Times New Roman"/>
          <w:i w:val="1"/>
          <w:sz w:val="20"/>
          <w:szCs w:val="20"/>
          <w:rtl w:val="0"/>
        </w:rPr>
        <w:t xml:space="preserve">Filing Failure</w:t>
      </w:r>
      <w:r w:rsidDel="00000000" w:rsidR="00000000" w:rsidRPr="00000000">
        <w:rPr>
          <w:rFonts w:ascii="Times New Roman" w:cs="Times New Roman" w:eastAsia="Times New Roman" w:hAnsi="Times New Roman"/>
          <w:sz w:val="20"/>
          <w:szCs w:val="20"/>
          <w:rtl w:val="0"/>
        </w:rPr>
        <w:t xml:space="preserve">”) or (B) not declared effective by the SEC on or before the Effectiveness Deadline Date (an “</w:t>
      </w:r>
      <w:r w:rsidDel="00000000" w:rsidR="00000000" w:rsidRPr="00000000">
        <w:rPr>
          <w:rFonts w:ascii="Times New Roman" w:cs="Times New Roman" w:eastAsia="Times New Roman" w:hAnsi="Times New Roman"/>
          <w:i w:val="1"/>
          <w:sz w:val="20"/>
          <w:szCs w:val="20"/>
          <w:rtl w:val="0"/>
        </w:rPr>
        <w:t xml:space="preserve">Effectiveness Failure</w:t>
      </w:r>
      <w:r w:rsidDel="00000000" w:rsidR="00000000" w:rsidRPr="00000000">
        <w:rPr>
          <w:rFonts w:ascii="Times New Roman" w:cs="Times New Roman" w:eastAsia="Times New Roman" w:hAnsi="Times New Roman"/>
          <w:sz w:val="20"/>
          <w:szCs w:val="20"/>
          <w:rtl w:val="0"/>
        </w:rPr>
        <w:t xml:space="preserve">”), then, as liquidated damages to Buyers by reason of any such delay in or reduction of its ability to sell the Shares (which remedy shall be the exclusive remedy for any Filing Failure or Effectiveness Failure (each, a “</w:t>
      </w:r>
      <w:r w:rsidDel="00000000" w:rsidR="00000000" w:rsidRPr="00000000">
        <w:rPr>
          <w:rFonts w:ascii="Times New Roman" w:cs="Times New Roman" w:eastAsia="Times New Roman" w:hAnsi="Times New Roman"/>
          <w:i w:val="1"/>
          <w:sz w:val="20"/>
          <w:szCs w:val="20"/>
          <w:rtl w:val="0"/>
        </w:rPr>
        <w:t xml:space="preserve">Failure</w:t>
      </w:r>
      <w:r w:rsidDel="00000000" w:rsidR="00000000" w:rsidRPr="00000000">
        <w:rPr>
          <w:rFonts w:ascii="Times New Roman" w:cs="Times New Roman" w:eastAsia="Times New Roman" w:hAnsi="Times New Roman"/>
          <w:sz w:val="20"/>
          <w:szCs w:val="20"/>
          <w:rtl w:val="0"/>
        </w:rPr>
        <w:t xml:space="preserve">”)), the Company shall pay to Buyers an amount equal to 1.0% of the aggregate purchase price paid by Buyers for the Shares for every thirty (30) days following the Filing Deadline Date that the Registration Statement is not filed (in the case of a Filing Failure) and for every thirty (30) days following the Effectiveness Deadline Date that the Registration Statement is not effective (in the case of an Effectiveness Failure), as the case may be, on a </w:t>
      </w:r>
      <w:r w:rsidDel="00000000" w:rsidR="00000000" w:rsidRPr="00000000">
        <w:rPr>
          <w:rFonts w:ascii="Times New Roman" w:cs="Times New Roman" w:eastAsia="Times New Roman" w:hAnsi="Times New Roman"/>
          <w:i w:val="1"/>
          <w:sz w:val="20"/>
          <w:szCs w:val="20"/>
          <w:rtl w:val="0"/>
        </w:rPr>
        <w:t xml:space="preserve">per diem</w:t>
      </w:r>
      <w:r w:rsidDel="00000000" w:rsidR="00000000" w:rsidRPr="00000000">
        <w:rPr>
          <w:rFonts w:ascii="Times New Roman" w:cs="Times New Roman" w:eastAsia="Times New Roman" w:hAnsi="Times New Roman"/>
          <w:sz w:val="20"/>
          <w:szCs w:val="20"/>
          <w:rtl w:val="0"/>
        </w:rPr>
        <w:t xml:space="preserve"> basis (the “</w:t>
      </w:r>
      <w:r w:rsidDel="00000000" w:rsidR="00000000" w:rsidRPr="00000000">
        <w:rPr>
          <w:rFonts w:ascii="Times New Roman" w:cs="Times New Roman" w:eastAsia="Times New Roman" w:hAnsi="Times New Roman"/>
          <w:i w:val="1"/>
          <w:sz w:val="20"/>
          <w:szCs w:val="20"/>
          <w:rtl w:val="0"/>
        </w:rPr>
        <w:t xml:space="preserve">Liquidated Damages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maximum Liquidated Damages payable to Buyers under this Section 2(e) shall not exceed 3.0% of the aggregate purchase price of the Shares.  Liquidated Damages, if any, shall be paid by the Company within ten (10) days following the end of each thirty (30) day period (or shorter period, if applicable) for which Liquidated Damages are payable.  The Company shall pay interest on Liquidated Damages not paid when due at a rate of interest equal to fifteen percent (15.0%) per annum.  In the event a Registration Statement is filed but is withdrawn by the Company prior to being declared effective by the SEC, then such Registration Statement will be deemed to have not been filed for the purpose of this Section 2(e).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Registration Procedures.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registration obligations of the Company under Section 2 hereof,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Prepare and file with the SEC such amendments and post-effective amendments to each Registration Statement as may be necessary to keep such Registration Statement continuously effective for the applicable period specified in Section 2(a); cause the related Prospectus to be supplemented by any required Prospectus supplement, and as so supplemented to be filed pursuant to Rule 424 (or any similar provisions then in force) under the Securities Act; and use commercially reasonable efforts to comply with the provisions of the Securities Act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it with respect to the disposition of all securities covered by such Registration Statement during the Effectiveness Period in accordance with the intended methods of disposition by the sellers thereof set forth in such Registration Statement as so amended or such Prospectus as so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Submit to the SEC, within two (2) Business Days after the Company learns that no review of a particular Registration Statement will be made by the staff of the SEC or that the staff has no further comments on a particular Registration Statement, as the case may be, a request for acceleration of effectiveness of such Registration Statement to a time and date not later than 48 hours after the submission of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Use commercially reasonable efforts to obtain the withdrawal of any order suspending the effectiveness of a Registration Statement or the lifting of any suspension of the qualification (or exemption from qualification) of any of the Registrable Securities for sale in any jurisdiction in which they have been qualified for sale, in either case at the earliest possible moment or, if any such order or suspension is made effective during any Deferral Period, at the earliest possible moment after the expiration of such Deferral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(A) the issuance by the SEC of a stop order suspending the effectiveness of the Resale Registration Statement or the initiation of proceedings with respect to the Resale Registration Statement under Section 8(d) or 8(e) of the Securities Act, (B) the occurrence of any event or the existence of any fact (a “</w:t>
      </w:r>
      <w:r w:rsidDel="00000000" w:rsidR="00000000" w:rsidRPr="00000000">
        <w:rPr>
          <w:rFonts w:ascii="Times New Roman" w:cs="Times New Roman" w:eastAsia="Times New Roman" w:hAnsi="Times New Roman"/>
          <w:i w:val="1"/>
          <w:sz w:val="20"/>
          <w:szCs w:val="20"/>
          <w:rtl w:val="0"/>
        </w:rPr>
        <w:t xml:space="preserve">Material Event</w:t>
      </w:r>
      <w:r w:rsidDel="00000000" w:rsidR="00000000" w:rsidRPr="00000000">
        <w:rPr>
          <w:rFonts w:ascii="Times New Roman" w:cs="Times New Roman" w:eastAsia="Times New Roman" w:hAnsi="Times New Roman"/>
          <w:sz w:val="20"/>
          <w:szCs w:val="20"/>
          <w:rtl w:val="0"/>
        </w:rPr>
        <w:t xml:space="preserve">”) as a result of which any Registration Statement shall contain any untrue statement of a material fact or omit to state any material fact required to be stated therein or necessary to make the statements therein not misleading, or any Prospectus shall contain any untrue statement of a material fact or omit to state any material fact necessary to make the statements therein, in light of the circumstances under which they were made, not misleading (including, in any such case, as a result of the non-availability of financial statements), or (C) the occurrence or existence of any development, event, fact, situation or circumstance relating to the Company that, in the discretion of the Company, makes it appropriate to suspend the availability of the Resale Registration Statement and the related Prospectus, (i) in the case of clause (B) above, subject to the next sentence, as promptly as is reasonably practicable prepare and file a post-effective amendment to such Registration Statement or a supplement to the related Prospectus or any document incorporated therein by reference or file any other required document that would be incorporated by reference into such Registration Statement and Prospectus so that such Registration Statement does not contain any untrue statement of a material fact or omit to state any material fact required to be stated therein or necessary to make the statements therein not misleading, and such Prospectus does not contain any untrue statement of a material fact or omit to state any material fact necessary to make the statements therein, in the light of the circumstances under which they were made, not misleading, as thereafter delivered to the purchasers of the Registrable Securities being sold thereunder, and, in the case of a post-effective amendment to a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next sentence, use commercially reasonable efforts to cause it to be declared effective as promptly as is reasonably practicable, and (ii) give notice (via facsimile, telephone or electronic mail followed by a written notice by internationally recognized overnight courier) to the Notice Holders that the availability of the Resale Registration Statement is suspended (a “</w:t>
      </w:r>
      <w:r w:rsidDel="00000000" w:rsidR="00000000" w:rsidRPr="00000000">
        <w:rPr>
          <w:rFonts w:ascii="Times New Roman" w:cs="Times New Roman" w:eastAsia="Times New Roman" w:hAnsi="Times New Roman"/>
          <w:i w:val="1"/>
          <w:sz w:val="20"/>
          <w:szCs w:val="20"/>
          <w:rtl w:val="0"/>
        </w:rPr>
        <w:t xml:space="preserve">Deferral Notice</w:t>
      </w:r>
      <w:r w:rsidDel="00000000" w:rsidR="00000000" w:rsidRPr="00000000">
        <w:rPr>
          <w:rFonts w:ascii="Times New Roman" w:cs="Times New Roman" w:eastAsia="Times New Roman" w:hAnsi="Times New Roman"/>
          <w:sz w:val="20"/>
          <w:szCs w:val="20"/>
          <w:rtl w:val="0"/>
        </w:rPr>
        <w:t xml:space="preserve">”) and, upon receipt of any Deferral Notice, each Notice Holder agrees not to sell any Registrable Securities pursuant to the Registration Statement until such Notice Holder’s receipt of copies of the supplemented or amended Prospectus provided for in clause (i) above, or until it is advised in writing by the Company that the Prospectus may be used, and has received copies of any additional or supplemental filings that are incorporated or deemed incorporated by reference in such Prospectus. The Company will use commercially reasonable efforts to ensure that the use of the Prospectus may be resumed (x) in the case of clause (A) above, as promptly as is reasonably practicable, (y) in the case of clause (B) above, as soon as, in the sole reasonable judgment of the Company, public disclosure of such Material Event would not be prejudicial to or contrary to the interests of the Company or, if necessary to avoid unreasonable burden or expense, as soon as reasonably practicable thereafter and (z) in the case of clause (C) above, as soon as, in the reasonable discretion of the Company, such suspension is no longer appropriate. The period during which the availability of the Registration Statement and any Prospectus is suspended (the “</w:t>
      </w:r>
      <w:r w:rsidDel="00000000" w:rsidR="00000000" w:rsidRPr="00000000">
        <w:rPr>
          <w:rFonts w:ascii="Times New Roman" w:cs="Times New Roman" w:eastAsia="Times New Roman" w:hAnsi="Times New Roman"/>
          <w:i w:val="1"/>
          <w:sz w:val="20"/>
          <w:szCs w:val="20"/>
          <w:rtl w:val="0"/>
        </w:rPr>
        <w:t xml:space="preserve">Deferral Period</w:t>
      </w:r>
      <w:r w:rsidDel="00000000" w:rsidR="00000000" w:rsidRPr="00000000">
        <w:rPr>
          <w:rFonts w:ascii="Times New Roman" w:cs="Times New Roman" w:eastAsia="Times New Roman" w:hAnsi="Times New Roman"/>
          <w:sz w:val="20"/>
          <w:szCs w:val="20"/>
          <w:rtl w:val="0"/>
        </w:rPr>
        <w:t xml:space="preserve">”) is not to exceed (i) 20 consecutive days at any one time; (ii) 30 days in the aggregate in any three-month period; or (iii) 60 days in the aggregate during any 12-month period, or as otherwise required by applicable regulatory authority; provided that, the number of days the Company is required to keep the Registration Statement effective shall be extended by the number of days equal to the aggregate Deferral Period(s). The first day of any Deferral Period must be at least two (2) trading days after the last day of any prior Deferral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During the Effectiveness Period (except during such periods that a Deferral Notice is outstanding and has not been revoked), deliver to each Notice Holder in connection with any sale of Registrable Securities pursuant to a Registration Statement, without charge, as many copies of the Prospectus or Prospectuses relating to such Registrable Securities and any amendment or supplement thereto as such Notice Holder may reasonably request; and the Company hereby consents (except during such periods that a Deferral Notice is outstanding and has not been revoked) to the use of such Prospectus or each amendment or supplement thereto by each Notice Holder in connection with any offering and sale of the Registrable Securities covered by such Prospectus or any amendment or supplement thereto in the manner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Subject to Section 3(d), prior to any public offering of the Registrable Securities pursuant to the Resale Registration Statement, use commercially reasonable efforts to register or qualify or cooperate with the Notice Holders in connection with the registration or qualification (or exemption from such registration or qualification) of such Registrable Securities for offer and sale under the securities or Blue Sky laws of such jurisdictions within the United States as any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reasonably requests in writing (which request may be included in the Notice and Questionnaire), it being agreed that no such registration or qualification will be made unless so requested; prior to any public offering of the Registrable Securities pursuant to the Resale Registration Statement, use commercially reasonable efforts to keep each such registration or qualification (or exemption therefrom) effective during the Effectiveness Period in connection with such Notice Holder’s offer and sale of Registrable Securities pursuant to such registration or qualification (or exemption therefrom) and do any and all other acts or things necessary to enable the disposition in such jurisdictions of such Registrable Securities in the manner set forth in the relevant Registration Statement and the related Prospectus; provided, that the Company will not be required to (i) qualify as a foreign corporation or as a dealer in securities in any jurisdiction where it is not otherwise qualified or (ii) take any action that would subject it to general service of process in suits or to taxation in any such jurisdiction where it is not then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Holder’s Obligations.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agrees, by acquisition of the Registrable Securities, that no Holder of Registrable Securities shall be entitled to sell any of such Registrable Securities pursuant to a Registration Statement or to receive a Prospectus relating thereto, unless such Holder has furnished the Company with a properly completed Notice and Questionnaire as required pursuant to this Section 4 (including the information required to be included in such Notice and Questionnaire) and the information set forth in the next sentence. Each Holder agrees to deliver a Notice and Questionnaire to the Company promptly upon becoming a Holder and notify the Company of any change in such information at least five (5) business days prior to the filing of the Initial Resale Registration Statement or Subsequent Resale Registration Statement, as applicable.  Each Notice Holder agrees promptly to furnish to the Company in writing all information required to be disclosed in order to make the information previously furnished to the Company by such Notice Holder not misleading, any other information regarding such Notice Holder and the distribution of such Registrable Securities as may be required to be disclosed in the Registration Statement under applicable law or pursuant to SEC comments and any information otherwise required by the Company to comply with applicable law or regulations. Each Holder further agrees, following termination of the Effectiveness Period, to notify the Company, within ten (10) Business Days of a request, of the amount of Registrable Securities sold pursuant to the Registration Statement and, in the absence of a response, the Company may assume that all of the Holder’s Registrable Securities were so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Registration Expenses.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bear all fees and expenses incurred in connection with the performance by the Company of its obligations under Sections 2 and 3 of this Agreement whether or not any of the Registration Statements are declared effective. Such fees and expenses shall include, without limitation, (i) all registration and filing fees (including, without limitation, fees and expenses (x) with respect to filings required to be made with the Toronto Stock Exchange and the NYSE Amex (or such U.S. national securities exchange on which the Common Stock is then listed) and (y) of compliance with U.S. federal and state securities or “Blue Sky” laws to the extent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filings or compliance are required pursuant to this Agreement (including, without limitation, reasonable fees and disbursements of the counsel specified in the next sentence in connection with Blue Sky qualifications of the Registrable Securities under the laws of such jurisdictions as the Notice Holders of a majority of the Registrable Securities being sold pursuant to a Registration Statement may designate)), (ii) printing expenses, (iii) duplication expenses relating to copies of any Registration Statement or Prospectus delivered to any Holders hereunder, and (iv) fees and disbursements of counsel for the Company in connection with the Resale Registration Statement, provided, however, that the Company shall not be responsible for any brokers’ fees, commissions or discounts in connection with the sale of Registrable Securities or the fees and expenses of legal counsel for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Information Requirements.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that, if at any time before the end of the Effectiveness Period the Company is not subject to the reporting requirements of the Exchange Act, it will cooperate with any Holder of Registrable Securities and take such further reasonable action as any Holder of Registrable Securities may reasonably request in writing (including, without limitation, making such reasonable representations as any such Holder may reasonably request), all to the extent required from time to time to enable such Holder to sell Registrable Securities without registration under the Securities Act within the limitations of Rule 144 under the Securities Act and customarily taken in connection with sales pursuant to such exemptions. Upon the written request of any Holder of Registrable Securities, the Company shall deliver to such Holder a written statement as to whether it has complied with the filing requirements of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Indemnification and Contribution.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agrees to indemnify and hold harmless each Holder of Registrable Securities covered by the Resale Registration Statement, the directors, officers, employees, Affiliates and agents of each such Holder and each person who controls any such Holder within the meaning of either the Securities Act or the Exchange Act against any and all losses, claims, damages or liabilities, joint or several, to which they or any of them may become subject under the Securities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Resale Registration Statement or in any amendment thereof, in each case at the time such became effective under the Securities Act, or in any preliminary Prospectus or the Prospectus, or in any amendment thereof or supplement thereto, or arise out of or are based upon the omission or alleged omission to state therein a material fact required to be stated therein or necessary to make the statements therein (in the case of any preliminary Prospectus or the Prospectus, in the light of the circumstances under which they were made) not misleading, and agrees to reimburse each such indemnified party, as incurred, for any legal or other expenses reasonably incurred by it in connection with investigating or defending any such loss, claim, damage, liability or action; provided, however, that the Company will not be liable in any such case to the extent that any such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 damage or liability arises out of or is based upon any such untrue statement or alleged untrue statement or omission or alleged omission made therein in reliance upon and in conformity with written information furnished to the Company by or on behalf of the party claiming indemnification specifically for inclusion therein. This indemnity shall be in addition to any liability that the Company may otherwise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Holder of securities covered by the Resale Registration Statement severally and not jointly agrees to indemnify and hold harmless the Company, each of its directors, each of its officers who signs the Resale Registration Statement and each person who controls the Company within the meaning of either the Securities Act or the Exchange Act, to the same extent as the foregoing indemnity from the Company to each such Holder, but only with reference to information relating to such Holder furnished to the Company by or on behalf of such Holder specifically for inclusion in the documents referred to in the foregoing indemnity. This indemnity agreement shall be acknowledged by each Notice Holder that is not the Buyers in such Notice Holder’s Notice and Questionnaire and shall be in addition to any liability that any such Notice Holder may otherwise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Promptly after receipt by an indemnified party under this Section 7 of notice of the commencement of any action, such indemnified party will, if a claim in respect thereof is to be made against the indemnifying party under this Section 7, notify the indemnifying party in writing of the commencement thereof; but the failure so to notify the indemnifying party (i) will not relieve it from liability under paragraph (a) or (b) above unless such failure results in the forfeiture by the indemnifying party of substantial rights and defenses or otherwise materially prejudices the indemnifying party; and (ii) will not, in any event, relieve the indemnifying party from any obligations to any indemnified party other than the indemnification obligation provided in paragraph (a) or (b) above. The indemnifying party shall be entitled to appoint counsel (including local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other than local counsel if not appointed by the indemnifying party, retained by the indemnified party or parties except as set forth below); provided, however, that such counsel shall be reasonably satisfactory to the indemnified party. Notwithstanding the indemnifying party’s election to appoint counsel (including one local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indemnifying party; (iii) the indemnifying party shall not have employed counsel reasonably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such settlement, compromise or consent includes an unconditional release of each indemnified party from all liability arising out of such claim,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indemnification to which an indemnified party is entitled under this Section 7 is for any reason unavailable to or insufficient although applicable in accordance with its terms to hold harmless an indemnified party in respect of any losses, liabilities, claims, damages or expenses referred to therein, then each indemnifying party shall contribute to the aggregate amount of such losses, liabilities, claims, damages and expenses incurred by such indemnified party, as incurred, in such proportion as is appropriate to reflect the relative fault of the indemnifying party or parties on the one hand and of the indemnified party on the other hand in connection with the statements or omissions which resulted in such losses, liabilities, claims, damages or expenses, as well as any other relevant equitable considerations.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relative fault of the Company on the one hand and the Holders of the Registrable Securities on the other hand shall be determined by reference to, among other things, whether any such untrue or alleged untrue statement of a material fact or omission or alleged omission to state a material fact relates to information supplied by the Company or by the Holder of the Registrable Securities and the parties’ relative intent, knowledge, access to information and opportunity to correct or prevent such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agree that it would not be just and equitable if contribution pursuant to this Section 7(d) were determined by pro rata allocation or by any other method of allocation which does not take account of the equitable considerations referred to above in this Section 7(d). The aggregate amount of losses, liabilities, claims, damages, and expenses incurred by an indemnified party and referred to above in this Section 7(d) shall be deemed to include any out-of-pocket legal 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this Section 7, no Holder of any Registrable Securities shall be required to indemnify or contribute any amount in excess of the amount by which the proceeds received from the sale of the Registrable Securities by such Holder of Registrable Securities exceeds the amount of any damages that such Holder of Registrable Securities has otherwise been required to pay by reason of such untrue or alleged untrue statement or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person guilty of fraudulent misrepresentation (within the meaning of Section 11(f) of the Securities Act) shall be entitled to contribution from any person who was not guilty of such fraudulent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Section 7(d), each person, if any, who controls Buyers or any Holder of Registrable Securities within the meaning of Section 15 of the Securities Act or Section 20 of the Exchange Act shall have the same rights to contribution as Buyers or such Holder, and each person, if any, who controls the Company within the meaning of Section 15 of the Securities Act or Section 20 of the Exchange Act shall have the same rights to contribution as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provisions of this Section 7 shall remain in full force and effect, regardless of any investigation made by or on behalf of any Holder or the Company or any of the indemnified persons referred to in this Section 7, and shall survive the sale by a Holder of Registrable Securities covered by the Resale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Successors and Assigns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Neither this Agreement nor any of the rights, interests or obligations hereunder shall be assigned by any of the parties hereto without the prior written consent of the other parties.  Subject to the preceding sentence, this Agreement shall be binding upon, inure to the benefit of, and be enforceable by, the parties and their respective permitted successors and assigns.  If any permitted transferee of any Holder shall acquire Registrable Securities, such Registrable Securities shall be subject to all of the terms of this Agreement and by taking and holding such Registrable Securities such person shall be conclusively deemed to have agreed to be bound by and to perform all of the terms and provisions of this Agreement.  Nothing in this Agreement is intended to confer upon any party other than the parties hereto or their respective permitted successors and assigns any rights, remedies, obligations, or liabilities under or by reason of this Agreement, except as expressly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Unless otherwise provided herein, any notice, request, waiver, instruction, consent or document or other communication required or permitted to be given by this Agreement shall be effective only if it is in writing and (i) delivered by hand or sent by certified mail, return receipt requested, (ii) if sent by a nationally-recognized overnight delivery service with delivery confirmed, or (iii) if sent by facsimile (or other similar electronic means), with receipt confirmed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954.848000000001" w:type="dxa"/>
        <w:jc w:val="left"/>
        <w:tblInd w:w="720.0" w:type="dxa"/>
        <w:tblLayout w:type="fixed"/>
        <w:tblLook w:val="0600"/>
      </w:tblPr>
      <w:tblGrid>
        <w:gridCol w:w="1687.392"/>
        <w:gridCol w:w="6267.456000000001"/>
        <w:tblGridChange w:id="0">
          <w:tblGrid>
            <w:gridCol w:w="1687.392"/>
            <w:gridCol w:w="6267.456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Golden Minerals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Indiana Street, Suite 800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Golden, Colorado 80401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(303) 839-5907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Graham &amp; Stubbs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1550 17</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Street, Suite 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Denver, Colorado 80202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Deborah J. Friedman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(303) 892-7400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Sentient Global Resources Fund III,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SGRF III Parallel I,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Landmark Square, 1</w:t>
            </w:r>
            <w:r w:rsidDel="00000000" w:rsidR="00000000" w:rsidRPr="00000000">
              <w:rPr>
                <w:rFonts w:ascii="Times New Roman" w:cs="Times New Roman" w:eastAsia="Times New Roman" w:hAnsi="Times New Roman"/>
                <w:sz w:val="12"/>
                <w:szCs w:val="12"/>
                <w:rtl w:val="0"/>
              </w:rPr>
              <w:t xml:space="preserve">st</w:t>
            </w:r>
            <w:r w:rsidDel="00000000" w:rsidR="00000000" w:rsidRPr="00000000">
              <w:rPr>
                <w:rFonts w:ascii="Times New Roman" w:cs="Times New Roman" w:eastAsia="Times New Roman" w:hAnsi="Times New Roman"/>
                <w:sz w:val="20"/>
                <w:szCs w:val="20"/>
                <w:rtl w:val="0"/>
              </w:rPr>
              <w:t xml:space="preserve"> Floor, 64 Earth Close, West Bay Beach South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10795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 Town, Grand Cayman KY1-1007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CAYMAN ISLANDS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Sue Bjuro — Office Manager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Quinn &amp; Brooks,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Gregory A. Smith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9800 Mt. Pyramid Ct., Suite 400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Englewood, Colorado 80112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promptly notify each other of any change in their respective addresses or facsimile numbers or of the individual or entity or office to receive notices, requests or other communications under this Section 8(b).  All notices shall be deemed to have been given (i) if personally delivered or sent by certified mail, as of the date when so delivered, (ii) if sent by nationally-recognized overnight delivery service, two days after mailing, or (iii) if sent by facsimile (or other similar electronic means) as of the date sent, if during normal business hours of the recipient, and otherwise on the next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The provisions of this Agreement, including the provisions of this sentence, may not be amended, modified or supplemented, and waivers or consents to departures from the provisions hereof may not be given, without the written consent of the Company and the Holders of a majority of the then outstanding Registrable Securities. Notwithstanding the foregoing, a waiver or consent to depart from the provisions hereof with respect to a matter that relates exclusively to the rights of Holders of Registrable Securities whose securities are being sold pursuant to a Registration Statement and that does not directly or indirectly affect the rights of other Holders of Registrable Securities may be given by Holders of at least a majority of the Registrable Securities being sold by such Holders pursuant to such Registration Statement; provided, that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of this sentence may not be amended, modified, or supplemented except in accordance with the provisions of the immediately preceding sentence. Each Holder of Registrable Securities outstanding at the time of any such amendment, modification, supplement, waiver or consent or thereafter shall be bound by any such amendment, modification, supplement, waiver or consent effected pursuant to this Section 8(c), whether or not any notice, writing or marking indicating such amendment, modification, supplement, waiver or consent appears on the Registrable Securities or is delivered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Any term or provision of this Agreement that is held by a court of competent jurisdiction or other authority to be invalid, void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or other authority declares that any term or provision hereof is invalid, void or unenforceable, the parties agree that the court making such determination shall have the power to reduce the scope, duration, area or applicability of the term or provision, to delete specific words or phrases, or to replace any invalid, void or unenforceable term or provision with a term or provision that is valid and enforceable and that comes closest to expressing the intention of the invalid or unenforceable term or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internal laws (as opposed to the conflicts of law provisions) of the State of Colorado.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Submission to Jurisdiction</w:t>
      </w:r>
      <w:r w:rsidDel="00000000" w:rsidR="00000000" w:rsidRPr="00000000">
        <w:rPr>
          <w:rFonts w:ascii="Times New Roman" w:cs="Times New Roman" w:eastAsia="Times New Roman" w:hAnsi="Times New Roman"/>
          <w:sz w:val="20"/>
          <w:szCs w:val="20"/>
          <w:rtl w:val="0"/>
        </w:rPr>
        <w:t xml:space="preserve">.  The parties hereby submit to the non-exclusive jurisdiction of any court of the State of Colorado or the United States District Court for the District of Colorado for the purpose of any suit, action, or other proceeding arising out of this Agreement, and waive any and all objections to jurisdiction that they may have under the laws of the State of Colorado or the United States and any claim or objection that any such court is an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Entire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constitutes the full and entire understanding and agreement between the parties with regard to the subjects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two or more counterparts (including by facsimile or similar means of electronic communication),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Specific Performance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Buyers and the Company each agree that irreparable damage would occur in the event that any of the provisions of this Agreement were not performed by them in accordance with the terms hereof and that each party shall be entitled to specific performance of the terms hereof, in addition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remedy at law or equity.  Each party hereto expressly waives any requirement that any other party hereto obtain any bond or provide any indemnity in connection with any action seeking injunctive relief or specific enforcement of the provisions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All reasonable, documented out-of-pocket costs and expenses incurred by the parties in connection with the negotiation, preparation, execution and delivery of this Agreement, including the fees, expenses and disbursements of legal counsel and accountants, shall be paid by the Company.  Except as otherwise set forth in this Agreement, costs and expenses incurred by the parties in connection with the performance of its obligations under this Agreement shall be paid by the party incurring such expenses.  The prevailing party in any litigation or other proceeding to collect Liquidated Damages pursuant to this Agreement shall be entitled to collect from the non-prevailing party all reasonable costs and fees associated with such litigation or proceeding, including reasonable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Approval of Holders.</w:t>
      </w:r>
      <w:r w:rsidDel="00000000" w:rsidR="00000000" w:rsidRPr="00000000">
        <w:rPr>
          <w:rFonts w:ascii="Times New Roman" w:cs="Times New Roman" w:eastAsia="Times New Roman" w:hAnsi="Times New Roman"/>
          <w:sz w:val="20"/>
          <w:szCs w:val="20"/>
          <w:rtl w:val="0"/>
        </w:rPr>
        <w:t xml:space="preserve">  Whenever the consent or approval of Holders of a specified percentage of Registrable Securities is required hereunder, Registrable Securities held by the Company or its Affiliates (other than Buyers or subsequent Holders of Registrable Securities if such subsequent Holders are deemed to be such Affiliates solely by reason of their holdings of such Registrable Securities) shall not be counted in determining whether such consent or approval was given by the Holders of such required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and the obligations of the parties hereunder shall terminate upon the earlier to occur of (i) the expiration of the Effectiveness Period or (ii) such time as there shall be no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WITNESS WHEREOF, the parties have executed this </w:t>
      </w:r>
      <w:r w:rsidDel="00000000" w:rsidR="00000000" w:rsidRPr="00000000">
        <w:rPr>
          <w:b w:val="1"/>
          <w:sz w:val="20"/>
          <w:szCs w:val="20"/>
          <w:rtl w:val="0"/>
        </w:rPr>
        <w:t xml:space="preserve">REGISTRATION RIGHTS AGREEMENT</w:t>
      </w:r>
      <w:r w:rsidDel="00000000" w:rsidR="00000000" w:rsidRPr="00000000">
        <w:rPr>
          <w:sz w:val="20"/>
          <w:szCs w:val="20"/>
          <w:rtl w:val="0"/>
        </w:rPr>
        <w:t xml:space="preserve">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
        <w:tblW w:w="9360.0" w:type="dxa"/>
        <w:jc w:val="left"/>
        <w:tblInd w:w="0.0" w:type="pct"/>
        <w:tblLayout w:type="fixed"/>
        <w:tblLook w:val="0600"/>
      </w:tblPr>
      <w:tblGrid>
        <w:gridCol w:w="2516.1290322580644"/>
        <w:gridCol w:w="2516.1290322580644"/>
        <w:gridCol w:w="1811.6129032258063"/>
        <w:gridCol w:w="2516.1290322580644"/>
        <w:tblGridChange w:id="0">
          <w:tblGrid>
            <w:gridCol w:w="2516.1290322580644"/>
            <w:gridCol w:w="2516.1290322580644"/>
            <w:gridCol w:w="1811.6129032258063"/>
            <w:gridCol w:w="2516.1290322580644"/>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20"/>
                <w:szCs w:val="20"/>
              </w:rPr>
            </w:pPr>
            <w:r w:rsidDel="00000000" w:rsidR="00000000" w:rsidRPr="00000000">
              <w:rPr>
                <w:b w:val="1"/>
                <w:sz w:val="20"/>
                <w:szCs w:val="20"/>
                <w:rtl w:val="0"/>
              </w:rPr>
              <w:t xml:space="preserve">GOLDEN MINERALS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/s/ Robert P. Vogels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Name: Robert P. Vogels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Title: Sr. VP &amp; CFO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20"/>
                <w:szCs w:val="20"/>
              </w:rPr>
            </w:pPr>
            <w:r w:rsidDel="00000000" w:rsidR="00000000" w:rsidRPr="00000000">
              <w:rPr>
                <w:b w:val="1"/>
                <w:sz w:val="20"/>
                <w:szCs w:val="20"/>
                <w:rtl w:val="0"/>
              </w:rPr>
              <w:t xml:space="preserve">SENTIENT GLOBAL RESOURCES FUND III,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000042915344"/>
              <w:contextualSpacing w:val="0"/>
              <w:rPr>
                <w:sz w:val="20"/>
                <w:szCs w:val="20"/>
              </w:rPr>
            </w:pPr>
            <w:r w:rsidDel="00000000" w:rsidR="00000000" w:rsidRPr="00000000">
              <w:rPr>
                <w:sz w:val="20"/>
                <w:szCs w:val="20"/>
                <w:rtl w:val="0"/>
              </w:rPr>
              <w:t xml:space="preserve">By: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Sentient GP III, L.P.,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Sentient Executive GP III, Limited,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Gregory Link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Gregory Link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20"/>
                <w:szCs w:val="20"/>
              </w:rPr>
            </w:pPr>
            <w:r w:rsidDel="00000000" w:rsidR="00000000" w:rsidRPr="00000000">
              <w:rPr>
                <w:b w:val="1"/>
                <w:sz w:val="20"/>
                <w:szCs w:val="20"/>
                <w:rtl w:val="0"/>
              </w:rPr>
              <w:t xml:space="preserve">SGRF III PARALLEL I,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000042915344"/>
              <w:contextualSpacing w:val="0"/>
              <w:rPr>
                <w:sz w:val="20"/>
                <w:szCs w:val="20"/>
              </w:rPr>
            </w:pPr>
            <w:r w:rsidDel="00000000" w:rsidR="00000000" w:rsidRPr="00000000">
              <w:rPr>
                <w:sz w:val="20"/>
                <w:szCs w:val="20"/>
                <w:rtl w:val="0"/>
              </w:rPr>
              <w:t xml:space="preserve">By: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Sentient GP III, L.P.,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Sentient Executive GP III, Limited,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Gregory Link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Gregory Link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FORM OF SELLING SECURITYHOLDER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undersigned beneficial owner (the “Selling Securityholder”) of Registrable Securities hereby gives notice to the Company of its intention to sell or otherwise dispose of Registrable Securities beneficially owned by it and listed below in Item 3 (unless otherwise specified under such Item 3) pursuant to the Resale Registration Statement. The undersigned, by signing and returning this Notice and Questionnaire, understands that it will be bound by the terms and conditions of this Notice and Questionnaire and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Pursuant to the Registration Rights Agreement, the undersigned has agreed to indemnify and hold harmless the Company’s directors and officers and each person, if any, who controls the Company within the meaning of either Section 15 of the Securities Act or Section 20 of the Securities Exchange Act of 1934, as amended (the “Exchange Act”), from and against certain losses arising in connection with statements concerning the undersigned made in the Company’s Resale Registration Statement or the related prospectus in reliance upon the information provided in this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If the Selling Securityholder transfers all or any portion of the Registrable Securities listed in Item 3 below after the date on which such information is provided to the Company, the Selling Securityholder agrees to notify the transferee(s) at the time of the transfer of its rights and obligations under the registration Rights Agreement and that the transferee must complete this Notice and Questionnaire in order to avail itself of the rights under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sz w:val="20"/>
          <w:szCs w:val="20"/>
        </w:rPr>
      </w:pPr>
      <w:r w:rsidDel="00000000" w:rsidR="00000000" w:rsidRPr="00000000">
        <w:rPr>
          <w:i w:val="1"/>
          <w:sz w:val="20"/>
          <w:szCs w:val="20"/>
          <w:rtl w:val="0"/>
        </w:rPr>
        <w:t xml:space="preserve">[CONTINUED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respond to every item, even if your response is “none.” If you need more space for any response, please attach additional sheets of paper. Please be sure to indicate your name and the number of the item being responded to on each such additional sheet of paper, and to sign each such additional sheet of paper before attaching it to this Questionnaire. Please note that you may be asked to answer additional questions depending on your responses to the following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COMPLETED QUESTIONNAIRES SHOULD BE RETURNED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GOLDEN MINERALS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 (1) COPY BY FACSIMILE TO FAX: (303) 839-5907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ORIGINAL COPY TO FOLLOW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provides the following information to the Company and represents and warrants that such information is accurate and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Identity and Background as the Beneficial Owner of The Registrable Securities.</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16"/>
          <w:szCs w:val="16"/>
        </w:rPr>
      </w:pPr>
      <w:r w:rsidDel="00000000" w:rsidR="00000000" w:rsidRPr="00000000">
        <w:rPr>
          <w:rFonts w:ascii="Times New Roman" w:cs="Times New Roman" w:eastAsia="Times New Roman" w:hAnsi="Times New Roman"/>
          <w:b w:val="1"/>
          <w:i w:val="0"/>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full legal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business address (including street address) (or residence if no business address), telephone number and facsimile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Are you a broker-dealer registered pursuant to Section 15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response to Item 1(c) above is no, are you an “affiliate” of a broker-dealer registered pursuant to Section 15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Item 1(d), an “affiliate” of a registered broker-dealer shall include any company that directly, or indirectly through one or more intermediaries, controls, or is controlled by, or is under common control with, such broker-dealer, and does not include any individuals employed by such broker-dealer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Full legal name of person or entity in whose name you hold the Registrable Securities—(i.e. name of your broker, if applicable, through which your Registered Securities are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broker: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Relationship With 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Have you or any of your affiliates, officers, directors or principal equity holders (owners of 5% or more of the equity securities of the undersigned) held any position or office or have you had any other material relationship with Golden Minerals Company (or its predecessors or affiliates) within the past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response to Item 2(a) above is yes, please state the nature and duration of your relationship with 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Interest in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the number of such Registrable Securities beneficially owned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Other than as set forth in your response to Item 3(a) above, do you beneficially own any other securities of 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answer to Item 3(b) above is yes, state the type, the aggregate amount and CUSIP No. (if applicable) of such other securities of Golden Minerals Company beneficially owned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Did you acquire the securities listed in Item 3(a) above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the time of your purchase of the securities listed in Item 3(a) above, did you have any agreements or understandings, directly or indirectly, with any person to distribute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response to Item 3(e) above is yes, please describe such agreements or understandings: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Nature of Your Beneficial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name of the beneficial owner of the Registrable Securities set forth in your response to Item 1(a) above is that of a limited partnership or corporation, state the names of the general partners of such limited partnership or the officers and directors of such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each general partner listed in Item 4(a) above who is not a natural person, and is not publicly held, name each shareholder (or holder of partnership interests, if applicable) of such general partner. If any of these named shareholders are not natural persons or publicly held entities, please provide the same information. This process should be repeated until you reach natural persons or a publicly held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Name your controlling shareholder(s) or other person or entity who has the ability to exercise control over you (the “Controlling Entity”). If the Controlling Entity is not a natural person and is not a publicly held entity, name each shareholder of such Controlling Entity. If any of these named shareholders are not natural persons or publicly held entities, please provide the same information. This process should be repeated until you reach natural persons or a publicly held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Full legal name of Controlling Entity(ies) or natural person(s) with who have sole or shared voting or dispositive power over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 (including street address) (or residence if no business address), telephone number and facsimile number of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Full legal name of Controlling Entity(ies):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 (including street address) (or residence if no business address), telephone number and facsimile number of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need more space for this response, please attach additional sheets of paper. Please be sure to indicate your name and the number of the item being responded to on each such additional sheet of paper, and to sign each such additional sheet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before attaching it to this Questionnaire. Please note that you may be asked to answer additional questions depending on your responses to the following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Plan of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undersigned (including its donees or pledgees) intends to distribute the Registrable Securities listed above in Item 3 pursuant to the Resale Registration Statement only as follows (if at all): Such Registrable Securities may be sold from time to time directly by the undersigned or, alternatively, through underwriters, broker-dealers or agents. If the Registrable Securities are sold through underwriters, broker-dealers or agents, the Selling Securityholder will be responsible for underwriting discounts or commissions or agents’ commissions. Such Registrable Securities may be sold in one or more transactions at fixed prices, at prevailing market prices at the time of sale, at varying prices determined at the time of sale or at negotiated prices. Such sales may be effected in transactions (which may involve block transactions) (i) on any national securities exchange or quotation service on which the Registrable Securities may be listed or quoted at the time of sale, (ii) in the over-the-counter market, or (iii) in transactions otherwise than on such exchanges or services or in the over-the-counter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this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