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AMENDMENT No.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BURLINGTON COAT FACTORY HOLDINGS,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2006 MANAGEMENT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Amendment No. 3 (“Amendment”) to the Burlington Coat Factory Holdings, Inc. 2006 Management Incentive Plan (the “Plan”) is made as of the 14</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of September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Plan was adopted by the Board of Directors of Burlington Coat Factory Holdings, Inc., a Delaware corporation (the “Corporation”), as of April 13, 2006;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Plan was previously amended by Amendment No. 1 thereto dated as of December 2, 2008 and Amendment No. 2 thereto dated as of March 19, 2009;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Board now desires to further amend the Plan to provide that, if any Participant forfeits any shares representing  Restricted Stock delivered pursuant to Awards granted under the Plan, such shares shall be added back to shares authorized for issuance under the Plan and shall again be available for granting in connection with future Awards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the Plan is amended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defined terms used in this Amendment shall have the meanings ascribed to them under the Plan.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new subsection (c) shall be added to Section 4 of the Plan as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Effect of Forfeitures</w:t>
      </w:r>
      <w:r w:rsidDel="00000000" w:rsidR="00000000" w:rsidRPr="00000000">
        <w:rPr>
          <w:rFonts w:ascii="times new roman" w:cs="times new roman" w:eastAsia="times new roman" w:hAnsi="times new roman"/>
          <w:sz w:val="20"/>
          <w:szCs w:val="20"/>
          <w:rtl w:val="0"/>
        </w:rPr>
        <w:t xml:space="preserve">.   If any Participant forfeits any shares of Restricted Stock delivered pursuant to Awards granted under the Plan, such shares shall be added back to shares authorized for issuance under the Plan and  shall again be available for granting in connection with future Awards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All other terms and conditions of the Plan are hereby confirmed and ratified.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