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 treatment has been requested with respect to the omitted portions of this exhibit. This copy omits information subject to a confidentiality request filed with the Securities and Exchange Commission. Omissions are designated with the characters [***]. A complete version of this exhibit has been filed separately with the Securities and Exchange Commission along with the request for confidential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ADDENDUM TO UNBRANDED RACK SALES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Addendum to Unbranded Rack Sales Agreement (the “Addendum”) is entered into on this 21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20"/>
          <w:szCs w:val="20"/>
          <w:rtl w:val="0"/>
        </w:rPr>
        <w:t xml:space="preserve"> day of December, 2009, by and between CITGO Petroleum Corporation (“CITGO”) and JEI Distributing, a Limited Liability Company (the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CITGO and the Unbranded Marketer have entered into a Unbranded Rack Sales Agreement on 21 December 2009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Unbranded Marketer has received offers from other suppliers to purchase motor fuels and other petroleum products; and therefore, has requested that CITGO sell </w:t>
      </w:r>
      <w:r w:rsidDel="00000000" w:rsidR="00000000" w:rsidRPr="00000000">
        <w:rPr>
          <w:rFonts w:ascii="Times New Roman" w:cs="Times New Roman" w:eastAsia="Times New Roman" w:hAnsi="Times New Roman"/>
          <w:b w:val="1"/>
          <w:sz w:val="20"/>
          <w:szCs w:val="20"/>
          <w:rtl w:val="0"/>
        </w:rPr>
        <w:t xml:space="preserve">Ultra Low Sulfur Diesel (“ULSD”)</w:t>
      </w:r>
      <w:r w:rsidDel="00000000" w:rsidR="00000000" w:rsidRPr="00000000">
        <w:rPr>
          <w:rFonts w:ascii="Times New Roman" w:cs="Times New Roman" w:eastAsia="Times New Roman" w:hAnsi="Times New Roman"/>
          <w:sz w:val="20"/>
          <w:szCs w:val="20"/>
          <w:rtl w:val="0"/>
        </w:rPr>
        <w:t xml:space="preserve"> (collectively referred to as the “Product”) on a similar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CITGO has agreed to sell to the Unbranded Marketer CITGO Product in accordance with the terms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covenants contained herein, it is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The effective date of this Addendum shall be 21 December 2009 and shall continue thereafter unless terminated by either party upon a thirty (30) days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MARKET RELATED PRICING AND SCOPE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 price for the applicable Product that the Unbranded Marketer ratably purchases from CITGO during the term of this Addendum shall be equal to (i) the Base Price set forth herein for the applicable Product, plus (ii) an Adder.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Base Price for Product purchased shall equal the [***] for the applicable product on the date immediately preceding the date of the bill of lading.  If such date occurs on a holiday or weekend when [***] is not published, the date used for pricing shall be the date immediately preceding the date of the bill of lading on which the [***] were published.  However, should the [***] not be published due to a reason other than that the date of lifting is a holiday or weekend, the price shall be the [***] as of the immediately preceding date that [***] was published adjusted by any change in prices of similar product in other markets that occurred between such date and the date of lifting.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CITGO’s adder fee (“Adder”) for each Terminal and Product where this pricing formula applies is as follows </w:t>
      </w:r>
      <w:r w:rsidDel="00000000" w:rsidR="00000000" w:rsidRPr="00000000">
        <w:rPr>
          <w:rFonts w:ascii="Times New Roman" w:cs="Times New Roman" w:eastAsia="Times New Roman" w:hAnsi="Times New Roman"/>
          <w:i w:val="1"/>
          <w:sz w:val="20"/>
          <w:szCs w:val="20"/>
          <w:rtl w:val="0"/>
        </w:rPr>
        <w:t xml:space="preserve">(in $/gallon)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1"/>
        <w:tblW w:w="4212.0" w:type="dxa"/>
        <w:jc w:val="left"/>
        <w:tblInd w:w="0.0" w:type="pct"/>
        <w:tblLayout w:type="fixed"/>
        <w:tblLook w:val="0600"/>
      </w:tblPr>
      <w:tblGrid>
        <w:gridCol w:w="2428.0891852884088"/>
        <w:gridCol w:w="349.375404369681"/>
        <w:gridCol w:w="349.375404369681"/>
        <w:gridCol w:w="735.7846016025483"/>
        <w:gridCol w:w="349.375404369681"/>
        <w:tblGridChange w:id="0">
          <w:tblGrid>
            <w:gridCol w:w="2428.0891852884088"/>
            <w:gridCol w:w="349.375404369681"/>
            <w:gridCol w:w="349.375404369681"/>
            <w:gridCol w:w="735.7846016025483"/>
            <w:gridCol w:w="349.375404369681"/>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Terminal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ULSD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CITGO Lake Charles, LA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0.0150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 Kenner, 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Placid Port Allen, LA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0.0255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All products receiving dye will be charged an additional $0.0035 per gallon.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All products receiving TX LED will be charged an additional $0.0250 per gallon.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Adder may change from time to time based on any cost increases incurred by CITGO related to transportation, terminaling, additives, and other routine costs to the respective Products and terminals.  CITGO will notify the Unbranded Marketer in writing of any changes to the Adder or ethanol Base Price at least thirty (30) days prior to making the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 price as calculated in this Section 2 is hereafter referred to as the “Market Related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PAYMENT AND BILLING TERMS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Unbranded Marketer shall pay CITGO’s Market Related Price for each net gallon as shown on the terminal truck bill of lading.  A discount for early timely payments is not offered.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Quantities shall be determined at time and place of loading. All measurements with regard to deliveries shall be corrected to 60° Fahrenheit and one (1) standard atmosphere in accordance with prevailing ASTM procedures. In any jurisdiction where applicable law dictates the method of measurement, such method shall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PERFORMANCE CRITERIA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Unbranded Marketer agrees to lift Product on a Ratable Basis as defined in the Agreement.  If during any month Unbranded Marketer purchases, other than as a result of supply disruptions or force majeure, less than 90% or more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110% of the monthly Contract Volume as defined in the Agreement, Unbranded Marketer shall be in violation of the Agreement and CITGO may terminate both the Agreement and/or this Addendum upon twenty-four (24) hours prior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CONTRACT VOLUME (Gallons)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tbl>
      <w:tblPr>
        <w:tblStyle w:val="Table2"/>
        <w:tblW w:w="7430.399999999999" w:type="dxa"/>
        <w:jc w:val="left"/>
        <w:tblInd w:w="720.0" w:type="dxa"/>
        <w:tblLayout w:type="fixed"/>
        <w:tblLook w:val="0600"/>
      </w:tblPr>
      <w:tblGrid>
        <w:gridCol w:w="2823.37713844883"/>
        <w:gridCol w:w="361.8823492741313"/>
        <w:gridCol w:w="1075.5722432186021"/>
        <w:gridCol w:w="361.8823492741313"/>
        <w:gridCol w:w="1075.5722432186021"/>
        <w:gridCol w:w="361.8823492741313"/>
        <w:gridCol w:w="1008.3489780174393"/>
        <w:gridCol w:w="361.8823492741313"/>
        <w:tblGridChange w:id="0">
          <w:tblGrid>
            <w:gridCol w:w="2823.37713844883"/>
            <w:gridCol w:w="361.8823492741313"/>
            <w:gridCol w:w="1075.5722432186021"/>
            <w:gridCol w:w="361.8823492741313"/>
            <w:gridCol w:w="1075.5722432186021"/>
            <w:gridCol w:w="361.8823492741313"/>
            <w:gridCol w:w="1008.3489780174393"/>
            <w:gridCol w:w="361.8823492741313"/>
          </w:tblGrid>
        </w:tblGridChange>
      </w:tblGrid>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TERMINAL: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Lake Chs, 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(CITGO)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Kenner, 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(Motiva)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Port Allen, 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(Placid)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PRODUCT: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ULSD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ULSD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ULSD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January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February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March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April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May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June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July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August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September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October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November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760,000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shd w:fill="auto" w:val="clear"/>
              </w:rPr>
            </w:pPr>
            <w:r w:rsidDel="00000000" w:rsidR="00000000" w:rsidRPr="00000000">
              <w:rPr>
                <w:sz w:val="20"/>
                <w:szCs w:val="20"/>
                <w:shd w:fill="auto" w:val="clear"/>
                <w:rtl w:val="0"/>
              </w:rPr>
              <w:t xml:space="preserve">390,000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December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390,000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9,120,000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4,680,000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IN WITNESS WHEREOF, this Addendum was executed on the date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3"/>
        <w:tblW w:w="9198.4" w:type="dxa"/>
        <w:jc w:val="left"/>
        <w:tblInd w:w="0.0" w:type="pct"/>
        <w:tblLayout w:type="fixed"/>
        <w:tblLook w:val="0600"/>
      </w:tblPr>
      <w:tblGrid>
        <w:gridCol w:w="4399.2"/>
        <w:gridCol w:w="400"/>
        <w:gridCol w:w="4399.2"/>
        <w:tblGridChange w:id="0">
          <w:tblGrid>
            <w:gridCol w:w="4399.2"/>
            <w:gridCol w:w="400"/>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CITGO PETROLEUM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JEI DISTRIBUTING, 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I.T. White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Stan Guidroz</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I.T. White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Stan Guidroz</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(Printed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(Printed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General Mgr. Business Analysis &amp; Enhancement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