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DENOTES CONFIDENTIAL MATERIALS OMITTED AND FILED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SEPARATELY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PURSUANT TO A REQUEST FOR CONFIDENTIAL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EARNOUT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Earnout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entered into and effective as of July 3, 2008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by and between Valero Refining and Marketing Company, a Delaware corporation (“</w:t>
      </w:r>
      <w:r w:rsidDel="00000000" w:rsidR="00000000" w:rsidRPr="00000000">
        <w:rPr>
          <w:rFonts w:ascii="Times New Roman" w:cs="Times New Roman" w:eastAsia="Times New Roman" w:hAnsi="Times New Roman"/>
          <w:sz w:val="20"/>
          <w:szCs w:val="20"/>
          <w:u w:val="single"/>
          <w:rtl w:val="0"/>
        </w:rPr>
        <w:t xml:space="preserve">Seller</w:t>
      </w:r>
      <w:r w:rsidDel="00000000" w:rsidR="00000000" w:rsidRPr="00000000">
        <w:rPr>
          <w:rFonts w:ascii="Times New Roman" w:cs="Times New Roman" w:eastAsia="Times New Roman" w:hAnsi="Times New Roman"/>
          <w:sz w:val="20"/>
          <w:szCs w:val="20"/>
          <w:rtl w:val="0"/>
        </w:rPr>
        <w:t xml:space="preserve">”) and Alon Refining Krotz Springs, Inc., a Delaware corporation (“</w:t>
      </w:r>
      <w:r w:rsidDel="00000000" w:rsidR="00000000" w:rsidRPr="00000000">
        <w:rPr>
          <w:rFonts w:ascii="Times New Roman" w:cs="Times New Roman" w:eastAsia="Times New Roman" w:hAnsi="Times New Roman"/>
          <w:sz w:val="20"/>
          <w:szCs w:val="20"/>
          <w:u w:val="single"/>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Buyer and Seller have entered into a Stock Purchase Agreement, dated as of May 7, 2008 (the “</w:t>
      </w:r>
      <w:r w:rsidDel="00000000" w:rsidR="00000000" w:rsidRPr="00000000">
        <w:rPr>
          <w:rFonts w:ascii="Times New Roman" w:cs="Times New Roman" w:eastAsia="Times New Roman" w:hAnsi="Times New Roman"/>
          <w:sz w:val="20"/>
          <w:szCs w:val="20"/>
          <w:u w:val="single"/>
          <w:rtl w:val="0"/>
        </w:rPr>
        <w:t xml:space="preserve">SPA</w:t>
      </w:r>
      <w:r w:rsidDel="00000000" w:rsidR="00000000" w:rsidRPr="00000000">
        <w:rPr>
          <w:rFonts w:ascii="Times New Roman" w:cs="Times New Roman" w:eastAsia="Times New Roman" w:hAnsi="Times New Roman"/>
          <w:sz w:val="20"/>
          <w:szCs w:val="20"/>
          <w:rtl w:val="0"/>
        </w:rPr>
        <w:t xml:space="preserve">”), and, as a condition to the consummation of the transactions contemplated by the SPA, Buyer and Seller (collectively,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and each individually a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are entering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the terms and conditions hereinafter set forth and for other good and valuable consideration, the receipt and sufficiency of which are hereby acknowledged,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TERMS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Barrel</w:t>
      </w:r>
      <w:r w:rsidDel="00000000" w:rsidR="00000000" w:rsidRPr="00000000">
        <w:rPr>
          <w:rFonts w:ascii="Times New Roman" w:cs="Times New Roman" w:eastAsia="Times New Roman" w:hAnsi="Times New Roman"/>
          <w:sz w:val="20"/>
          <w:szCs w:val="20"/>
          <w:rtl w:val="0"/>
        </w:rPr>
        <w:t xml:space="preserve">” means 42 United States’ standard gallons at 60 degrees Fahrenheit.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a day other than Saturday, Sunday or any day on which banks located in the State of New York are authorized or obligated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Daily Average Crude Price</w:t>
      </w:r>
      <w:r w:rsidDel="00000000" w:rsidR="00000000" w:rsidRPr="00000000">
        <w:rPr>
          <w:rFonts w:ascii="Times New Roman" w:cs="Times New Roman" w:eastAsia="Times New Roman" w:hAnsi="Times New Roman"/>
          <w:sz w:val="20"/>
          <w:szCs w:val="20"/>
          <w:rtl w:val="0"/>
        </w:rPr>
        <w:t xml:space="preserve">” means the average of the high and low prices for First Month WTI-Cushing as quoted in Platt’s for each day during an Earnout Year, converted to Barrels as applicable; provided that daily calculations on weekends and holidays will use prices published for the immediately preceding Friday or Business Day,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Daily Average Gasoline Price</w:t>
      </w:r>
      <w:r w:rsidDel="00000000" w:rsidR="00000000" w:rsidRPr="00000000">
        <w:rPr>
          <w:rFonts w:ascii="Times New Roman" w:cs="Times New Roman" w:eastAsia="Times New Roman" w:hAnsi="Times New Roman"/>
          <w:sz w:val="20"/>
          <w:szCs w:val="20"/>
          <w:rtl w:val="0"/>
        </w:rPr>
        <w:t xml:space="preserve">” means the average of the high and low prices for Regular Unleaded Gasoline, US Gulf Coast Pipeline, as quoted in Platt’s for each day during an Earnout Year, converted to Barrels as applicable; provided that daily calculations on weekends and holidays will use prices published for the immediately preceding Friday or Business Day,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Daily Average ULSD Price</w:t>
      </w:r>
      <w:r w:rsidDel="00000000" w:rsidR="00000000" w:rsidRPr="00000000">
        <w:rPr>
          <w:rFonts w:ascii="Times New Roman" w:cs="Times New Roman" w:eastAsia="Times New Roman" w:hAnsi="Times New Roman"/>
          <w:sz w:val="20"/>
          <w:szCs w:val="20"/>
          <w:rtl w:val="0"/>
        </w:rPr>
        <w:t xml:space="preserve">” means the average of the high and low prices for Ultra Low Sulfur Diesel, US Gulf Coast Pipeline, as quoted in Platt’s for each day during an Earnout Year, converted to Barrels as applicable; provided that daily calculations on weekends and holidays will use prices published for the immediately preceding Friday or Business Day,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Earnout Year</w:t>
      </w:r>
      <w:r w:rsidDel="00000000" w:rsidR="00000000" w:rsidRPr="00000000">
        <w:rPr>
          <w:rFonts w:ascii="Times New Roman" w:cs="Times New Roman" w:eastAsia="Times New Roman" w:hAnsi="Times New Roman"/>
          <w:sz w:val="20"/>
          <w:szCs w:val="20"/>
          <w:rtl w:val="0"/>
        </w:rPr>
        <w:t xml:space="preserve">” means a 365-day period (or 366 days in case the period includes a February 29) beginning on the Effective Date, and ending on each subsequent anniversary thereof during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Platt’s</w:t>
      </w:r>
      <w:r w:rsidDel="00000000" w:rsidR="00000000" w:rsidRPr="00000000">
        <w:rPr>
          <w:rFonts w:ascii="Times New Roman" w:cs="Times New Roman" w:eastAsia="Times New Roman" w:hAnsi="Times New Roman"/>
          <w:sz w:val="20"/>
          <w:szCs w:val="20"/>
          <w:rtl w:val="0"/>
        </w:rPr>
        <w:t xml:space="preserve">” means Platt’s Oilgram Price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means three (3) years from the Effective Date, plus the amount of time required to calculate and pay the Earnout Payment for the final Earnout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capitalized terms in this Agreement not otherwise defined above shall have the meanings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EARNOUT PAYMENTS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each of the three (3) Earnout Years during the Term of this Agreement, Buyer shall calculate and pay an earnout payment (the “</w:t>
            </w:r>
            <w:r w:rsidDel="00000000" w:rsidR="00000000" w:rsidRPr="00000000">
              <w:rPr>
                <w:rFonts w:ascii="Times New Roman" w:cs="Times New Roman" w:eastAsia="Times New Roman" w:hAnsi="Times New Roman"/>
                <w:color w:val="000000"/>
                <w:sz w:val="20"/>
                <w:szCs w:val="20"/>
                <w:u w:val="single"/>
                <w:rtl w:val="0"/>
              </w:rPr>
              <w:t xml:space="preserve">Earnout Payment</w:t>
            </w:r>
            <w:r w:rsidDel="00000000" w:rsidR="00000000" w:rsidRPr="00000000">
              <w:rPr>
                <w:rFonts w:ascii="Times New Roman" w:cs="Times New Roman" w:eastAsia="Times New Roman" w:hAnsi="Times New Roman"/>
                <w:color w:val="000000"/>
                <w:sz w:val="20"/>
                <w:szCs w:val="20"/>
                <w:rtl w:val="0"/>
              </w:rPr>
              <w:t xml:space="preserve">”), as required pursuant to the terms and conditions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thirty (30) days after the expiration of each Earnout Year during the Term of this Agreement, Buyer shall calculate the amount of the Earnout Payment payable to Seller for such Earnout Year according to the formula set forth below (the “</w:t>
            </w:r>
            <w:r w:rsidDel="00000000" w:rsidR="00000000" w:rsidRPr="00000000">
              <w:rPr>
                <w:rFonts w:ascii="Times New Roman" w:cs="Times New Roman" w:eastAsia="Times New Roman" w:hAnsi="Times New Roman"/>
                <w:color w:val="000000"/>
                <w:sz w:val="20"/>
                <w:szCs w:val="20"/>
                <w:u w:val="single"/>
                <w:rtl w:val="0"/>
              </w:rPr>
              <w:t xml:space="preserve">Earnout Payment Formula</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purposes of illustration only, the following is an example of how the Earnout Payment shall be calculated (all prices are $/barrel):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the thirtieth (30</w:t>
            </w:r>
            <w:r w:rsidDel="00000000" w:rsidR="00000000" w:rsidRPr="00000000">
              <w:rPr>
                <w:rFonts w:ascii="Times New Roman" w:cs="Times New Roman" w:eastAsia="Times New Roman" w:hAnsi="Times New Roman"/>
                <w:color w:val="000000"/>
                <w:sz w:val="16"/>
                <w:szCs w:val="16"/>
                <w:vertAlign w:val="baseline"/>
                <w:rtl w:val="0"/>
              </w:rPr>
              <w:t xml:space="preserve">th</w:t>
            </w:r>
            <w:r w:rsidDel="00000000" w:rsidR="00000000" w:rsidRPr="00000000">
              <w:rPr>
                <w:rFonts w:ascii="Times New Roman" w:cs="Times New Roman" w:eastAsia="Times New Roman" w:hAnsi="Times New Roman"/>
                <w:color w:val="000000"/>
                <w:sz w:val="20"/>
                <w:szCs w:val="20"/>
                <w:rtl w:val="0"/>
              </w:rPr>
              <w:t xml:space="preserve">) day after the expiration of each Earnout Year during the Term of this Agreement (each, a “</w:t>
            </w:r>
            <w:r w:rsidDel="00000000" w:rsidR="00000000" w:rsidRPr="00000000">
              <w:rPr>
                <w:rFonts w:ascii="Times New Roman" w:cs="Times New Roman" w:eastAsia="Times New Roman" w:hAnsi="Times New Roman"/>
                <w:color w:val="000000"/>
                <w:sz w:val="20"/>
                <w:szCs w:val="20"/>
                <w:u w:val="single"/>
                <w:rtl w:val="0"/>
              </w:rPr>
              <w:t xml:space="preserve">Notice Date</w:t>
            </w:r>
            <w:r w:rsidDel="00000000" w:rsidR="00000000" w:rsidRPr="00000000">
              <w:rPr>
                <w:rFonts w:ascii="Times New Roman" w:cs="Times New Roman" w:eastAsia="Times New Roman" w:hAnsi="Times New Roman"/>
                <w:color w:val="000000"/>
                <w:sz w:val="20"/>
                <w:szCs w:val="20"/>
                <w:rtl w:val="0"/>
              </w:rPr>
              <w:t xml:space="preserve">”), Buyer shall transmit to Seller (pursuant to the notice provisions hereof) a statement of Buyer’s calculation of the Earnout Payment using the Earnout Payment Formula in reasonable detail such that Seller can confirm the method of calculation. Such notice shall be transmitted regardless of whether the Earnout Payment is a positive or negative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Earnout Payment is a positive amount, Buyer shall pay to Seller the amount of the Earnout Payment within seven (7) days of the Notice Date for the relevant Earnout Year (each, a “</w:t>
            </w:r>
            <w:r w:rsidDel="00000000" w:rsidR="00000000" w:rsidRPr="00000000">
              <w:rPr>
                <w:rFonts w:ascii="Times New Roman" w:cs="Times New Roman" w:eastAsia="Times New Roman" w:hAnsi="Times New Roman"/>
                <w:color w:val="000000"/>
                <w:sz w:val="20"/>
                <w:szCs w:val="20"/>
                <w:u w:val="single"/>
                <w:rtl w:val="0"/>
              </w:rPr>
              <w:t xml:space="preserve">Due Date</w:t>
            </w:r>
            <w:r w:rsidDel="00000000" w:rsidR="00000000" w:rsidRPr="00000000">
              <w:rPr>
                <w:rFonts w:ascii="Times New Roman" w:cs="Times New Roman" w:eastAsia="Times New Roman" w:hAnsi="Times New Roman"/>
                <w:color w:val="000000"/>
                <w:sz w:val="20"/>
                <w:szCs w:val="20"/>
                <w:rtl w:val="0"/>
              </w:rPr>
              <w:t xml:space="preserve">”) in immediately available U.S. funds, by wire transfer to the following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 to such other U.S. Bank account as may hereafter be designated by Seller in writing. Each Earnout Payment shall be made without offset, setoff, counterclaim or deduction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kind. If the Earnout Payment is a negative amount, no payment shall be made by Buyer. Negative Earnout Payment amounts shall not carry forward to the following Earnout Year. If the Earnout Payment is not made within five (5) days of the relevant Due Date, then interest shall accrue on the unpaid balance thereof at the Applicable Rate (as defined in the SPA) from the day following the relevant Due Date until the Earnout Payment is made. If the Applicable Rate exceeds the highest legal interest rate, the interest rate shall be the then-current highest legal interest rate.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Seller shall notify Buyer of any dispute regarding Buyer’s calculation of the Earnout Payment within thirty (30) days of receipt of the notice referenced in </w:t>
            </w:r>
            <w:r w:rsidDel="00000000" w:rsidR="00000000" w:rsidRPr="00000000">
              <w:rPr>
                <w:rFonts w:ascii="Times New Roman" w:cs="Times New Roman" w:eastAsia="Times New Roman" w:hAnsi="Times New Roman"/>
                <w:color w:val="000000"/>
                <w:sz w:val="20"/>
                <w:szCs w:val="20"/>
                <w:u w:val="single"/>
                <w:rtl w:val="0"/>
              </w:rPr>
              <w:t xml:space="preserve">Section 2.4</w:t>
            </w:r>
            <w:r w:rsidDel="00000000" w:rsidR="00000000" w:rsidRPr="00000000">
              <w:rPr>
                <w:rFonts w:ascii="Times New Roman" w:cs="Times New Roman" w:eastAsia="Times New Roman" w:hAnsi="Times New Roman"/>
                <w:color w:val="000000"/>
                <w:sz w:val="20"/>
                <w:szCs w:val="20"/>
                <w:rtl w:val="0"/>
              </w:rPr>
              <w:t xml:space="preserve">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published price that is used in the calculation of the Earnout Payment is discontinued, the Parties shall negotiate in good faith a substitute method for determining such price based upon an arms-length, third-party price for a like product duly taking into account quality and transportation differentials, with preference given to quoted average prices available from publications similar to Platt’s (including, if applicable, any successor to Platt’s).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Notices</w:t>
            </w:r>
            <w:r w:rsidDel="00000000" w:rsidR="00000000" w:rsidRPr="00000000">
              <w:rPr>
                <w:rFonts w:ascii="Times New Roman" w:cs="Times New Roman" w:eastAsia="Times New Roman" w:hAnsi="Times New Roman"/>
                <w:color w:val="000000"/>
                <w:sz w:val="20"/>
                <w:szCs w:val="20"/>
                <w:rtl w:val="0"/>
              </w:rPr>
              <w:t xml:space="preserve">. Any and all notices herein prescribed shall be in writing and transmitted by personal delivery, by U.S. Postal Service as overnight or certified mail, by a nationally recognized delivery service for same day or overnight delivery or by facsimile to the respective parties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Refining and Marketing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Valero Energy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Valero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Senior Vice President and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(210) 345-2246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345-5889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Alon Refining Krotz Springs,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Alon USA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7616 LBJ Freeway, Suite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Dallas, Texas 75251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(972) 367-3702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(972) 367-3724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Receipt of all notices shall be determined by date/time stamp on received, confirmed fax or receipt date on any other form of delivery.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Amendment</w:t>
            </w:r>
            <w:r w:rsidDel="00000000" w:rsidR="00000000" w:rsidRPr="00000000">
              <w:rPr>
                <w:rFonts w:ascii="Times New Roman" w:cs="Times New Roman" w:eastAsia="Times New Roman" w:hAnsi="Times New Roman"/>
                <w:color w:val="000000"/>
                <w:sz w:val="20"/>
                <w:szCs w:val="20"/>
                <w:rtl w:val="0"/>
              </w:rPr>
              <w:t xml:space="preserve">. This Agreement may be amended only by an instrument in writing executed by the Parties 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Assignment</w:t>
            </w:r>
            <w:r w:rsidDel="00000000" w:rsidR="00000000" w:rsidRPr="00000000">
              <w:rPr>
                <w:rFonts w:ascii="Times New Roman" w:cs="Times New Roman" w:eastAsia="Times New Roman" w:hAnsi="Times New Roman"/>
                <w:color w:val="000000"/>
                <w:sz w:val="20"/>
                <w:szCs w:val="20"/>
                <w:rtl w:val="0"/>
              </w:rPr>
              <w:t xml:space="preserve">. Seller may assign, in whole or in part, any of the rights, obligations or benefits arising under this Agreement without the consent of Buyer. Buyer shall not assign, in whole or in part, any of the rights, obligations or benefits arising under this Agreement without the prior written consent of Seller.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Successors Bound</w:t>
            </w:r>
            <w:r w:rsidDel="00000000" w:rsidR="00000000" w:rsidRPr="00000000">
              <w:rPr>
                <w:rFonts w:ascii="Times New Roman" w:cs="Times New Roman" w:eastAsia="Times New Roman" w:hAnsi="Times New Roman"/>
                <w:color w:val="000000"/>
                <w:sz w:val="20"/>
                <w:szCs w:val="20"/>
                <w:rtl w:val="0"/>
              </w:rPr>
              <w:t xml:space="preserve">. This Agreement shall be binding upon and inure to the benefit of the Parties hereto and their respective successors and permitted assigns.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Entire Agreement</w:t>
            </w:r>
            <w:r w:rsidDel="00000000" w:rsidR="00000000" w:rsidRPr="00000000">
              <w:rPr>
                <w:rFonts w:ascii="Times New Roman" w:cs="Times New Roman" w:eastAsia="Times New Roman" w:hAnsi="Times New Roman"/>
                <w:color w:val="000000"/>
                <w:sz w:val="20"/>
                <w:szCs w:val="20"/>
                <w:rtl w:val="0"/>
              </w:rPr>
              <w:t xml:space="preserve">. This Agreement, the exhibits and the documents specifically referred to herein and any provision of the SPA incorporated herein by reference constitute the entire agreement, understanding, representations and warranties of the Parties 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Counterparts</w:t>
            </w:r>
            <w:r w:rsidDel="00000000" w:rsidR="00000000" w:rsidRPr="00000000">
              <w:rPr>
                <w:rFonts w:ascii="Times New Roman" w:cs="Times New Roman" w:eastAsia="Times New Roman" w:hAnsi="Times New Roman"/>
                <w:color w:val="000000"/>
                <w:sz w:val="20"/>
                <w:szCs w:val="20"/>
                <w:rtl w:val="0"/>
              </w:rPr>
              <w:t xml:space="preserve">. This Agreement may be executed in counterparts, each of which shall be deemed an original, but all of which shall constitute one and the same instrument.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Choice of Law; Venue</w:t>
            </w:r>
            <w:r w:rsidDel="00000000" w:rsidR="00000000" w:rsidRPr="00000000">
              <w:rPr>
                <w:rFonts w:ascii="Times New Roman" w:cs="Times New Roman" w:eastAsia="Times New Roman" w:hAnsi="Times New Roman"/>
                <w:color w:val="000000"/>
                <w:sz w:val="20"/>
                <w:szCs w:val="20"/>
                <w:rtl w:val="0"/>
              </w:rPr>
              <w:t xml:space="preserve">. This Agreement shall be construed, interpreted and the rights of the parties determined in accordance with the laws of the State of Texas, exclusive of its conflict of laws principles. Each of the Parties hereto agrees that it shall bring any action or proceeding in respect of any claim arising out of or related to this Agreement, whether in tort or contract or at law or in equity, exclusively in the Federal or state courts sitting in Houston, Harris County, Texas, and solely in connection with claims arising under such agreement or instrument or the transactions contained in or contemplated by such agreement or instrument, (i) irrevocably submits to the exclusive jurisdiction of such courts, (ii) waives any objection to laying venue in any such action or proceeding in such courts, (iii) waives any objection that such courts are an inconvenient forum or do not have jurisdiction over it and (iv) agrees that service of process upon it may be effected by mailing a copy thereof by registered or certified mail (or any substantially similar form of mail), postage prepaid, to it at its address specified in </w:t>
            </w:r>
            <w:r w:rsidDel="00000000" w:rsidR="00000000" w:rsidRPr="00000000">
              <w:rPr>
                <w:rFonts w:ascii="Times New Roman" w:cs="Times New Roman" w:eastAsia="Times New Roman" w:hAnsi="Times New Roman"/>
                <w:color w:val="000000"/>
                <w:sz w:val="20"/>
                <w:szCs w:val="20"/>
                <w:u w:val="single"/>
                <w:rtl w:val="0"/>
              </w:rPr>
              <w:t xml:space="preserve">Section 3.1</w:t>
            </w:r>
            <w:r w:rsidDel="00000000" w:rsidR="00000000" w:rsidRPr="00000000">
              <w:rPr>
                <w:rFonts w:ascii="Times New Roman" w:cs="Times New Roman" w:eastAsia="Times New Roman" w:hAnsi="Times New Roman"/>
                <w:color w:val="000000"/>
                <w:sz w:val="20"/>
                <w:szCs w:val="20"/>
                <w:rtl w:val="0"/>
              </w:rPr>
              <w:t xml:space="preserv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duly executed this Agreement effective as of the date first specified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4.2306794303058"/>
        <w:gridCol w:w="364.2306794303058"/>
        <w:gridCol w:w="2983.049264534204"/>
        <w:gridCol w:w="364.2306794303058"/>
        <w:gridCol w:w="5284.258697174878"/>
        <w:tblGridChange w:id="0">
          <w:tblGrid>
            <w:gridCol w:w="364.2306794303058"/>
            <w:gridCol w:w="364.2306794303058"/>
            <w:gridCol w:w="2983.049264534204"/>
            <w:gridCol w:w="364.2306794303058"/>
            <w:gridCol w:w="5284.2586971748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VALERO REFINING AND MARKETING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 Eugene Edwards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S. Eugene Edwards</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ALON REFINING KROTZ SPRINGS,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Harlin R. Dean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Harlin R. Dean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Earnout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