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Execution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NO.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Amendment No. 2 dated as of January 11, 2010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among Stone Energy Corporation, a Delaware corporation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Stone Energy Offshore, L.L.C., a Delaware limited liability company (“</w:t>
      </w:r>
      <w:r w:rsidDel="00000000" w:rsidR="00000000" w:rsidRPr="00000000">
        <w:rPr>
          <w:rFonts w:ascii="Times New Roman" w:cs="Times New Roman" w:eastAsia="Times New Roman" w:hAnsi="Times New Roman"/>
          <w:sz w:val="20"/>
          <w:szCs w:val="20"/>
          <w:u w:val="single"/>
          <w:rtl w:val="0"/>
        </w:rPr>
        <w:t xml:space="preserve">Guarantor</w:t>
      </w:r>
      <w:r w:rsidDel="00000000" w:rsidR="00000000" w:rsidRPr="00000000">
        <w:rPr>
          <w:rFonts w:ascii="Times New Roman" w:cs="Times New Roman" w:eastAsia="Times New Roman" w:hAnsi="Times New Roman"/>
          <w:sz w:val="20"/>
          <w:szCs w:val="20"/>
          <w:rtl w:val="0"/>
        </w:rPr>
        <w:t xml:space="preserve">”), the financial institutions party to the Credit Agreement described below as Banks (“</w:t>
      </w:r>
      <w:r w:rsidDel="00000000" w:rsidR="00000000" w:rsidRPr="00000000">
        <w:rPr>
          <w:rFonts w:ascii="Times New Roman" w:cs="Times New Roman" w:eastAsia="Times New Roman" w:hAnsi="Times New Roman"/>
          <w:sz w:val="20"/>
          <w:szCs w:val="20"/>
          <w:u w:val="single"/>
          <w:rtl w:val="0"/>
        </w:rPr>
        <w:t xml:space="preserve">Banks</w:t>
      </w:r>
      <w:r w:rsidDel="00000000" w:rsidR="00000000" w:rsidRPr="00000000">
        <w:rPr>
          <w:rFonts w:ascii="Times New Roman" w:cs="Times New Roman" w:eastAsia="Times New Roman" w:hAnsi="Times New Roman"/>
          <w:sz w:val="20"/>
          <w:szCs w:val="20"/>
          <w:rtl w:val="0"/>
        </w:rPr>
        <w:t xml:space="preserve">”), and Bank of America, N.A., as Agent for the Banks (“</w:t>
      </w:r>
      <w:r w:rsidDel="00000000" w:rsidR="00000000" w:rsidRPr="00000000">
        <w:rPr>
          <w:rFonts w:ascii="Times New Roman" w:cs="Times New Roman" w:eastAsia="Times New Roman" w:hAnsi="Times New Roman"/>
          <w:sz w:val="20"/>
          <w:szCs w:val="20"/>
          <w:u w:val="single"/>
          <w:rtl w:val="0"/>
        </w:rPr>
        <w:t xml:space="preserve">Agent</w:t>
      </w:r>
      <w:r w:rsidDel="00000000" w:rsidR="00000000" w:rsidRPr="00000000">
        <w:rPr>
          <w:rFonts w:ascii="Times New Roman" w:cs="Times New Roman" w:eastAsia="Times New Roman" w:hAnsi="Times New Roman"/>
          <w:sz w:val="20"/>
          <w:szCs w:val="20"/>
          <w:rtl w:val="0"/>
        </w:rPr>
        <w:t xml:space="preserve">”) and as Issuing Bank (“</w:t>
      </w:r>
      <w:r w:rsidDel="00000000" w:rsidR="00000000" w:rsidRPr="00000000">
        <w:rPr>
          <w:rFonts w:ascii="Times New Roman" w:cs="Times New Roman" w:eastAsia="Times New Roman" w:hAnsi="Times New Roman"/>
          <w:sz w:val="20"/>
          <w:szCs w:val="20"/>
          <w:u w:val="single"/>
          <w:rtl w:val="0"/>
        </w:rPr>
        <w:t xml:space="preserve">Issuing Bank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Borrower, the Banks, the Issuing Bank, and the Agent have entered into the Second Amended and Restated Credit Agreement dated as of August 28, 2008, as amended by Amendment No. 1 dated as of April 29, 2009 (as so amended, the “</w:t>
      </w:r>
      <w:r w:rsidDel="00000000" w:rsidR="00000000" w:rsidRPr="00000000">
        <w:rPr>
          <w:rFonts w:ascii="Times New Roman" w:cs="Times New Roman" w:eastAsia="Times New Roman" w:hAnsi="Times New Roman"/>
          <w:sz w:val="20"/>
          <w:szCs w:val="20"/>
          <w:u w:val="single"/>
          <w:rtl w:val="0"/>
        </w:rPr>
        <w:t xml:space="preserve">Credit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Guarantor entered into that certain Guaranty dated as of August 28, 2008, as amended by Amendment No. 1 dated as of April 29, 2009 (as so amended, the “</w:t>
      </w:r>
      <w:r w:rsidDel="00000000" w:rsidR="00000000" w:rsidRPr="00000000">
        <w:rPr>
          <w:rFonts w:ascii="Times New Roman" w:cs="Times New Roman" w:eastAsia="Times New Roman" w:hAnsi="Times New Roman"/>
          <w:sz w:val="20"/>
          <w:szCs w:val="20"/>
          <w:u w:val="single"/>
          <w:rtl w:val="0"/>
        </w:rPr>
        <w:t xml:space="preserve">Stone Offshore Guaranty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Borrower plans to issue up to $300,000,000 in unsecured senior notes due 2017 pursuant to the Indenture to be entered into by the Borrower, the Guarantor, and The Bank of New York Mellon Trust Company, N.A, as Trustee (the “</w:t>
      </w:r>
      <w:r w:rsidDel="00000000" w:rsidR="00000000" w:rsidRPr="00000000">
        <w:rPr>
          <w:rFonts w:ascii="Times New Roman" w:cs="Times New Roman" w:eastAsia="Times New Roman" w:hAnsi="Times New Roman"/>
          <w:sz w:val="20"/>
          <w:szCs w:val="20"/>
          <w:u w:val="single"/>
          <w:rtl w:val="0"/>
        </w:rPr>
        <w:t xml:space="preserve">2010 Indenture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parties hereto desire to amend the Credit Agreement to permit the issuance of up to $300,000,000 in unsecured senior notes pursuant to the 2010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Guarantor wishes to reaffirm its guarantee of the Obligations as amended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THEREFORE, in fulfillment of the foregoing, the Borrower, the Guarantor, the Agent, the Issuing Bank, and the Banks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 </w:t>
      </w:r>
      <w:r w:rsidDel="00000000" w:rsidR="00000000" w:rsidRPr="00000000">
        <w:rPr>
          <w:rFonts w:ascii="Times New Roman" w:cs="Times New Roman" w:eastAsia="Times New Roman" w:hAnsi="Times New Roman"/>
          <w:sz w:val="20"/>
          <w:szCs w:val="20"/>
          <w:u w:val="single"/>
          <w:rtl w:val="0"/>
        </w:rPr>
        <w:t xml:space="preserve">Definitions; References</w:t>
      </w:r>
      <w:r w:rsidDel="00000000" w:rsidR="00000000" w:rsidRPr="00000000">
        <w:rPr>
          <w:rFonts w:ascii="Times New Roman" w:cs="Times New Roman" w:eastAsia="Times New Roman" w:hAnsi="Times New Roman"/>
          <w:sz w:val="20"/>
          <w:szCs w:val="20"/>
          <w:rtl w:val="0"/>
        </w:rPr>
        <w:t xml:space="preserve">. Unless otherwise defined in this Agreement, each term used in this Agreement which is defined in the Credit Agreement has the meaning assigned to such term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Upon the satisfaction of the conditions specified in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Agreement, and, unless otherwise specified, effective as of the date set forth above, the Credit Agreement is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 new definition of “2010 Indenture” shall be added in Section 1.1 of the Credit Agreement to read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2010 Indenture</w:t>
      </w:r>
      <w:r w:rsidDel="00000000" w:rsidR="00000000" w:rsidRPr="00000000">
        <w:rPr>
          <w:rFonts w:ascii="Times New Roman" w:cs="Times New Roman" w:eastAsia="Times New Roman" w:hAnsi="Times New Roman"/>
          <w:sz w:val="20"/>
          <w:szCs w:val="20"/>
          <w:rtl w:val="0"/>
        </w:rPr>
        <w:t xml:space="preserve">” means the Indenture to be entered into by the Borrower, the Guarantor, and The Bank of New York Mellon Trust Company, N.A., as Trustee, relating to the issuance of unsecured senior notes due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Section 2.2(a) of the Credit Agreement shall be amended to read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Borrowing Base has been set by the Banks and acknowledged by the Borrower as $425,000,000 as of the date of this Agreement. On the date of any issuance of Debt under the 2010 Indenture, the Borrowing Base shall be reduced automatically by an amount equal to 40% of the excess, if any, of (A) all Debt outstanding under the 2010 Indenture after giving effect to such issuance over (B) $200,000,000. The automatic reduction described in this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 shall not be deemed to take the place of regularly scheduled or other redeterminations of the Borrowing Base in accordance with this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references in Section 6.3 of the Credit Agreement to the “2001 Indenture and the 2004 Indenture” shall be deleted and replaced with references to the “2001 Indenture, the 2004 Indenture and the 2010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Schedule 6.2 of the Credit Agreement shall be replaced with Schedule 6.2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 </w:t>
      </w:r>
      <w:r w:rsidDel="00000000" w:rsidR="00000000" w:rsidRPr="00000000">
        <w:rPr>
          <w:rFonts w:ascii="Times New Roman" w:cs="Times New Roman" w:eastAsia="Times New Roman" w:hAnsi="Times New Roman"/>
          <w:sz w:val="20"/>
          <w:szCs w:val="20"/>
          <w:u w:val="single"/>
          <w:rtl w:val="0"/>
        </w:rPr>
        <w:t xml:space="preserve">Reaffirmation of Liens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of the Borrower and the Guarantor (i) is party to certain Security Documents securing and supporting the Borrower’s and Guarantor’s obligations under the Credit Documents, (ii) represents and warrants that it has no defenses to the enforcement of the Security Documents and that according to their terms the Security Documents will continue in full force and effect to secure the Borrower’s and Guarantor’s obligations under the Credit Documents, as the same may be amended, supplemented, or otherwise modified, and (iii) acknowledges, represents, and warrants that the liens and security interests created by the Security Documents are valid and subsisting and create an Acceptable Security Interest in the Collateral to secure the Borrower’s and Guarantor’s obligations under the Credit Documents, as the same may be amended, supplemented, or otherwise modified.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delivery of this Agreement does not indicate or establish a requirement that any Guaranty or Security Document requires the Borrower’s or any Guarantor’s approval of amendments to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Borrower represents and warrants to the Agent and the Banks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representations and warranties set forth in the Credit Agreement and in the other Credit Documents are true and correct in all material respects as of the date of this Agreement (except to the extent such representations and warranties relate to an earlier date, in which case such representations and warranties shall be true and correct in all material respects as of such earlier date); </w:t>
      </w:r>
      <w:r w:rsidDel="00000000" w:rsidR="00000000" w:rsidRPr="00000000">
        <w:rPr>
          <w:rFonts w:ascii="Times New Roman" w:cs="Times New Roman" w:eastAsia="Times New Roman" w:hAnsi="Times New Roman"/>
          <w:b w:val="1"/>
          <w:i w:val="1"/>
          <w:sz w:val="20"/>
          <w:szCs w:val="20"/>
          <w:rtl w:val="0"/>
        </w:rPr>
        <w:t xml:space="preserve">provided that </w:t>
      </w:r>
      <w:r w:rsidDel="00000000" w:rsidR="00000000" w:rsidRPr="00000000">
        <w:rPr>
          <w:rFonts w:ascii="Times New Roman" w:cs="Times New Roman" w:eastAsia="Times New Roman" w:hAnsi="Times New Roman"/>
          <w:sz w:val="20"/>
          <w:szCs w:val="20"/>
          <w:rtl w:val="0"/>
        </w:rPr>
        <w:t xml:space="preserve">such materiality qualifier shall not apply if such representation or warranty is already subject to a materiality qualifier in the Credit Agreement or such other Credit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 the execution, delivery, and performance of this Agreement are within the corporate power and authority of the Borrower and have been duly authorized by appropriate proceedings and (ii) this Agreement constitutes a legal, valid, and binding obligation of the Borrower, enforceable against the Borrower in accordance with its terms, except as limited by applicable bankruptcy, insolvency, reorganization, moratorium, or similar laws affecting the rights of creditors generally and general principles of equity;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as of the effectiveness of this Agreement and after giving effect thereto, no Default or Event of Default has occurred and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 </w:t>
      </w:r>
      <w:r w:rsidDel="00000000" w:rsidR="00000000" w:rsidRPr="00000000">
        <w:rPr>
          <w:rFonts w:ascii="Times New Roman" w:cs="Times New Roman" w:eastAsia="Times New Roman" w:hAnsi="Times New Roman"/>
          <w:sz w:val="20"/>
          <w:szCs w:val="20"/>
          <w:u w:val="single"/>
          <w:rtl w:val="0"/>
        </w:rPr>
        <w:t xml:space="preserve">Reaffirmation of Guaranty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Guarantor hereby ratifies, confirms, and acknowledges that its obligations under the Stone Offshore Guaranty are in full force and effect and that the Guarantor continues to unconditionally and irrevocably guarantee the full and punctual payment, when due, whether at stated maturity or earlier by acceleration or otherwise, of all of the Obligations (subject to the terms of the Stone Offshore Guaranty), as such Obligations may have been amended by this Agreement. The Guarantor hereby acknowledges that its execution and delivery of this Agreement do not indicate or establish an approval or consent requirement by the Guarantor under the Stone Offshore Guaranty in connection with the execution and delivery of amendments, modifications or waivers to the Credit Agreement, the Notes or any of the other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 </w:t>
      </w:r>
      <w:r w:rsidDel="00000000" w:rsidR="00000000" w:rsidRPr="00000000">
        <w:rPr>
          <w:rFonts w:ascii="Times New Roman" w:cs="Times New Roman" w:eastAsia="Times New Roman" w:hAnsi="Times New Roman"/>
          <w:sz w:val="20"/>
          <w:szCs w:val="20"/>
          <w:u w:val="single"/>
          <w:rtl w:val="0"/>
        </w:rPr>
        <w:t xml:space="preserve">Effectiveness</w:t>
      </w:r>
      <w:r w:rsidDel="00000000" w:rsidR="00000000" w:rsidRPr="00000000">
        <w:rPr>
          <w:rFonts w:ascii="Times New Roman" w:cs="Times New Roman" w:eastAsia="Times New Roman" w:hAnsi="Times New Roman"/>
          <w:sz w:val="20"/>
          <w:szCs w:val="20"/>
          <w:rtl w:val="0"/>
        </w:rPr>
        <w:t xml:space="preserve">. This Agreement shall become effective as of the date hereof, and the Credit Agreement shall be amended as provided herein, upon the occurrence of all of the following: (a) the Majority Banks’, the Borrower’s, and the Guarantor’s duly and validly executing originals of this Agreement and delivery thereof to the Agent, (b) the representations and warranties in this Agreement being true and correct in all material respects before and after giving effect to this Agreement, (c) the Borrower’s having made a prepayment of Advances, and if the Advances have been repaid in full, made deposits into the Cash Collateral Account to provide cash collateral for the Letter of Credit Exposure, in an aggregate amount equal to the amount of any Borrowing Base Deficiency that would exist immediately after giving effect to the reduction of the Borrowing Base specified in </w:t>
      </w:r>
      <w:r w:rsidDel="00000000" w:rsidR="00000000" w:rsidRPr="00000000">
        <w:rPr>
          <w:rFonts w:ascii="Times New Roman" w:cs="Times New Roman" w:eastAsia="Times New Roman" w:hAnsi="Times New Roman"/>
          <w:sz w:val="20"/>
          <w:szCs w:val="20"/>
          <w:u w:val="single"/>
          <w:rtl w:val="0"/>
        </w:rPr>
        <w:t xml:space="preserve">Section 2(c)</w:t>
      </w:r>
      <w:r w:rsidDel="00000000" w:rsidR="00000000" w:rsidRPr="00000000">
        <w:rPr>
          <w:rFonts w:ascii="Times New Roman" w:cs="Times New Roman" w:eastAsia="Times New Roman" w:hAnsi="Times New Roman"/>
          <w:sz w:val="20"/>
          <w:szCs w:val="20"/>
          <w:rtl w:val="0"/>
        </w:rPr>
        <w:t xml:space="preserve"> of this Agreement, and (d) the Borrower’s having paid all costs, expenses, and fees which have been invoiced and are payable pursuant to </w:t>
      </w:r>
      <w:r w:rsidDel="00000000" w:rsidR="00000000" w:rsidRPr="00000000">
        <w:rPr>
          <w:rFonts w:ascii="Times New Roman" w:cs="Times New Roman" w:eastAsia="Times New Roman" w:hAnsi="Times New Roman"/>
          <w:sz w:val="20"/>
          <w:szCs w:val="20"/>
          <w:u w:val="single"/>
          <w:rtl w:val="0"/>
        </w:rPr>
        <w:t xml:space="preserve">Section 9.4</w:t>
      </w:r>
      <w:r w:rsidDel="00000000" w:rsidR="00000000" w:rsidRPr="00000000">
        <w:rPr>
          <w:rFonts w:ascii="Times New Roman" w:cs="Times New Roman" w:eastAsia="Times New Roman" w:hAnsi="Times New Roman"/>
          <w:sz w:val="20"/>
          <w:szCs w:val="20"/>
          <w:rtl w:val="0"/>
        </w:rPr>
        <w:t xml:space="preserve"> of the Credit Agreement or any other written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 </w:t>
      </w:r>
      <w:r w:rsidDel="00000000" w:rsidR="00000000" w:rsidRPr="00000000">
        <w:rPr>
          <w:rFonts w:ascii="Times New Roman" w:cs="Times New Roman" w:eastAsia="Times New Roman" w:hAnsi="Times New Roman"/>
          <w:sz w:val="20"/>
          <w:szCs w:val="20"/>
          <w:u w:val="single"/>
          <w:rtl w:val="0"/>
        </w:rPr>
        <w:t xml:space="preserve">Effect on Credit Documents</w:t>
      </w:r>
      <w:r w:rsidDel="00000000" w:rsidR="00000000" w:rsidRPr="00000000">
        <w:rPr>
          <w:rFonts w:ascii="Times New Roman" w:cs="Times New Roman" w:eastAsia="Times New Roman" w:hAnsi="Times New Roman"/>
          <w:sz w:val="20"/>
          <w:szCs w:val="20"/>
          <w:rtl w:val="0"/>
        </w:rPr>
        <w:t xml:space="preserve">. Except as amended herein, the Credit Agreement and the Credit Documents remain in full force and effect as originally executed, and nothing herein shall act as a waiver of any of the Agent’s or Banks’ rights under the Credit Documents, as amended. This Agreement is a Credit Document for the purposes of the provisions of the other Credit Documents. Without limiting the foregoing, any breach of representations, warranties, and covenants under this Agreement may be a Default or Event of Default under other Credit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 </w:t>
      </w:r>
      <w:r w:rsidDel="00000000" w:rsidR="00000000" w:rsidRPr="00000000">
        <w:rPr>
          <w:rFonts w:ascii="Times New Roman" w:cs="Times New Roman" w:eastAsia="Times New Roman" w:hAnsi="Times New Roman"/>
          <w:sz w:val="20"/>
          <w:szCs w:val="20"/>
          <w:u w:val="single"/>
          <w:rtl w:val="0"/>
        </w:rPr>
        <w:t xml:space="preserve">Choice of Law</w:t>
      </w:r>
      <w:r w:rsidDel="00000000" w:rsidR="00000000" w:rsidRPr="00000000">
        <w:rPr>
          <w:rFonts w:ascii="Times New Roman" w:cs="Times New Roman" w:eastAsia="Times New Roman" w:hAnsi="Times New Roman"/>
          <w:sz w:val="20"/>
          <w:szCs w:val="20"/>
          <w:rtl w:val="0"/>
        </w:rPr>
        <w:t xml:space="preserve">. This Agreement shall be governed by and construed and enforced in accordance with the laws of the State of Texas.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signed in any number of counterparts, each of which shall be an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WRITTEN AGREEMENT AND THE CREDIT DOCUMENTS, AS DEFINED IN THE CREDIT AGREEMENT, REPRESENT THE FINAL AGREEMENT AMONG THE PARTIES AND MAY NOT BE CONTRADICTED BY EVIDENCE OF PRIOR, CONTEMPORANEOUS, OR SUBSEQUENT ORAL AGREEMENTS OF THE PARTIES. THERE ARE NO UNWRITTEN ORAL AGREEMENTS BETWEEN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EXECUTED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00000000002" w:type="dxa"/>
        <w:jc w:val="left"/>
        <w:tblInd w:w="0.0" w:type="pct"/>
        <w:tblLayout w:type="fixed"/>
        <w:tblLook w:val="0600"/>
      </w:tblPr>
      <w:tblGrid>
        <w:gridCol w:w="3937.8050790321377"/>
        <w:gridCol w:w="350.588059030639"/>
        <w:gridCol w:w="350.588059030639"/>
        <w:gridCol w:w="350.588059030639"/>
        <w:gridCol w:w="2871.3162034609336"/>
        <w:gridCol w:w="350.588059030639"/>
        <w:gridCol w:w="1148.5264813843737"/>
        <w:tblGridChange w:id="0">
          <w:tblGrid>
            <w:gridCol w:w="3937.8050790321377"/>
            <w:gridCol w:w="350.588059030639"/>
            <w:gridCol w:w="350.588059030639"/>
            <w:gridCol w:w="350.588059030639"/>
            <w:gridCol w:w="2871.3162034609336"/>
            <w:gridCol w:w="350.588059030639"/>
            <w:gridCol w:w="1148.52648138437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BORROWER: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ENERGY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H. Welch</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H. Welch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Kenneth H. Beer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Kenneth H. Beer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GUARANTOR: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ENERGY OFFSHORE,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H. Welch</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H. Welch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Kenneth H. Beer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Kenneth H. Beer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60.000000000002" w:type="dxa"/>
        <w:jc w:val="left"/>
        <w:tblInd w:w="0.0" w:type="pct"/>
        <w:tblLayout w:type="fixed"/>
        <w:tblLook w:val="0600"/>
      </w:tblPr>
      <w:tblGrid>
        <w:gridCol w:w="3937.8050790321377"/>
        <w:gridCol w:w="350.588059030639"/>
        <w:gridCol w:w="350.588059030639"/>
        <w:gridCol w:w="350.588059030639"/>
        <w:gridCol w:w="2871.3162034609336"/>
        <w:gridCol w:w="350.588059030639"/>
        <w:gridCol w:w="1148.5264813843737"/>
        <w:tblGridChange w:id="0">
          <w:tblGrid>
            <w:gridCol w:w="3937.8050790321377"/>
            <w:gridCol w:w="350.588059030639"/>
            <w:gridCol w:w="350.588059030639"/>
            <w:gridCol w:w="350.588059030639"/>
            <w:gridCol w:w="2871.3162034609336"/>
            <w:gridCol w:w="350.588059030639"/>
            <w:gridCol w:w="1148.52648138437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AGENT AND ISSUING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N.A., as Agent and Issuing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Ronald E. McKaig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Ronald E. McKaig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BANKS: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Ronald E. McKaig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Ronald E. McKaig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60.000000000002" w:type="dxa"/>
        <w:jc w:val="left"/>
        <w:tblInd w:w="0.0" w:type="pct"/>
        <w:tblLayout w:type="fixed"/>
        <w:tblLook w:val="0600"/>
      </w:tblPr>
      <w:tblGrid>
        <w:gridCol w:w="3937.8050790321377"/>
        <w:gridCol w:w="350.588059030639"/>
        <w:gridCol w:w="350.588059030639"/>
        <w:gridCol w:w="350.588059030639"/>
        <w:gridCol w:w="2871.3162034609336"/>
        <w:gridCol w:w="350.588059030639"/>
        <w:gridCol w:w="1148.5264813843737"/>
        <w:tblGridChange w:id="0">
          <w:tblGrid>
            <w:gridCol w:w="3937.8050790321377"/>
            <w:gridCol w:w="350.588059030639"/>
            <w:gridCol w:w="350.588059030639"/>
            <w:gridCol w:w="350.588059030639"/>
            <w:gridCol w:w="2871.3162034609336"/>
            <w:gridCol w:w="350.588059030639"/>
            <w:gridCol w:w="1148.52648138437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BNP PARIBAS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Douglas R. Liftman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Douglas R. Liftman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Pak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Pak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00000000002" w:type="dxa"/>
        <w:jc w:val="left"/>
        <w:tblInd w:w="0.0" w:type="pct"/>
        <w:tblLayout w:type="fixed"/>
        <w:tblLook w:val="0600"/>
      </w:tblPr>
      <w:tblGrid>
        <w:gridCol w:w="3937.8050790321377"/>
        <w:gridCol w:w="350.588059030639"/>
        <w:gridCol w:w="350.588059030639"/>
        <w:gridCol w:w="350.588059030639"/>
        <w:gridCol w:w="2871.3162034609336"/>
        <w:gridCol w:w="350.588059030639"/>
        <w:gridCol w:w="1148.5264813843737"/>
        <w:tblGridChange w:id="0">
          <w:tblGrid>
            <w:gridCol w:w="3937.8050790321377"/>
            <w:gridCol w:w="350.588059030639"/>
            <w:gridCol w:w="350.588059030639"/>
            <w:gridCol w:w="350.588059030639"/>
            <w:gridCol w:w="2871.3162034609336"/>
            <w:gridCol w:w="350.588059030639"/>
            <w:gridCol w:w="1148.52648138437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NATIXIS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Donovan C. Broussard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Donovan C. Broussard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Louis P. Laville, III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Louis P. Laville,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5"/>
        <w:tblW w:w="9360.000000000002" w:type="dxa"/>
        <w:jc w:val="left"/>
        <w:tblInd w:w="0.0" w:type="pct"/>
        <w:tblLayout w:type="fixed"/>
        <w:tblLook w:val="0600"/>
      </w:tblPr>
      <w:tblGrid>
        <w:gridCol w:w="3937.8050790321377"/>
        <w:gridCol w:w="350.588059030639"/>
        <w:gridCol w:w="350.588059030639"/>
        <w:gridCol w:w="350.588059030639"/>
        <w:gridCol w:w="2871.3162034609336"/>
        <w:gridCol w:w="350.588059030639"/>
        <w:gridCol w:w="1148.5264813843737"/>
        <w:tblGridChange w:id="0">
          <w:tblGrid>
            <w:gridCol w:w="3937.8050790321377"/>
            <w:gridCol w:w="350.588059030639"/>
            <w:gridCol w:w="350.588059030639"/>
            <w:gridCol w:w="350.588059030639"/>
            <w:gridCol w:w="2871.3162034609336"/>
            <w:gridCol w:w="350.588059030639"/>
            <w:gridCol w:w="1148.52648138437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NOVA SCOTIA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Mills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Mills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6"/>
        <w:tblW w:w="9360.000000000002" w:type="dxa"/>
        <w:jc w:val="left"/>
        <w:tblInd w:w="0.0" w:type="pct"/>
        <w:tblLayout w:type="fixed"/>
        <w:tblLook w:val="0600"/>
      </w:tblPr>
      <w:tblGrid>
        <w:gridCol w:w="3937.8050790321377"/>
        <w:gridCol w:w="350.588059030639"/>
        <w:gridCol w:w="350.588059030639"/>
        <w:gridCol w:w="350.588059030639"/>
        <w:gridCol w:w="2871.3162034609336"/>
        <w:gridCol w:w="350.588059030639"/>
        <w:gridCol w:w="1148.5264813843737"/>
        <w:tblGridChange w:id="0">
          <w:tblGrid>
            <w:gridCol w:w="3937.8050790321377"/>
            <w:gridCol w:w="350.588059030639"/>
            <w:gridCol w:w="350.588059030639"/>
            <w:gridCol w:w="350.588059030639"/>
            <w:gridCol w:w="2871.3162034609336"/>
            <w:gridCol w:w="350.588059030639"/>
            <w:gridCol w:w="1148.52648138437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ONE, 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Paul D. Hein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 D. Hein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
        <w:tblW w:w="9360.0" w:type="dxa"/>
        <w:jc w:val="left"/>
        <w:tblInd w:w="0.0" w:type="pct"/>
        <w:tblLayout w:type="fixed"/>
        <w:tblLook w:val="0600"/>
      </w:tblPr>
      <w:tblGrid>
        <w:gridCol w:w="3757.560045749142"/>
        <w:gridCol w:w="356.84330918795274"/>
        <w:gridCol w:w="356.84330918795274"/>
        <w:gridCol w:w="356.84330918795274"/>
        <w:gridCol w:w="2922.5467022493326"/>
        <w:gridCol w:w="356.84330918795274"/>
        <w:gridCol w:w="1252.520015249714"/>
        <w:tblGridChange w:id="0">
          <w:tblGrid>
            <w:gridCol w:w="3757.560045749142"/>
            <w:gridCol w:w="356.84330918795274"/>
            <w:gridCol w:w="356.84330918795274"/>
            <w:gridCol w:w="356.84330918795274"/>
            <w:gridCol w:w="2922.5467022493326"/>
            <w:gridCol w:w="356.84330918795274"/>
            <w:gridCol w:w="1252.5200152497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TORONTO DOMINION (TEXAS)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Debbi L. Brito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Debbi L. Brito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8"/>
        <w:tblW w:w="9360.0" w:type="dxa"/>
        <w:jc w:val="left"/>
        <w:tblInd w:w="0.0" w:type="pct"/>
        <w:tblLayout w:type="fixed"/>
        <w:tblLook w:val="0600"/>
      </w:tblPr>
      <w:tblGrid>
        <w:gridCol w:w="3757.560045749142"/>
        <w:gridCol w:w="356.84330918795274"/>
        <w:gridCol w:w="356.84330918795274"/>
        <w:gridCol w:w="356.84330918795274"/>
        <w:gridCol w:w="2922.5467022493326"/>
        <w:gridCol w:w="356.84330918795274"/>
        <w:gridCol w:w="1252.520015249714"/>
        <w:tblGridChange w:id="0">
          <w:tblGrid>
            <w:gridCol w:w="3757.560045749142"/>
            <w:gridCol w:w="356.84330918795274"/>
            <w:gridCol w:w="356.84330918795274"/>
            <w:gridCol w:w="356.84330918795274"/>
            <w:gridCol w:w="2922.5467022493326"/>
            <w:gridCol w:w="356.84330918795274"/>
            <w:gridCol w:w="1252.5200152497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ALLIED IRISH BANKS p.l.c.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M. Fenk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M. Fenk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Giordano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Giordano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Assistant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9"/>
        <w:tblW w:w="9360.0" w:type="dxa"/>
        <w:jc w:val="left"/>
        <w:tblInd w:w="0.0" w:type="pct"/>
        <w:tblLayout w:type="fixed"/>
        <w:tblLook w:val="0600"/>
      </w:tblPr>
      <w:tblGrid>
        <w:gridCol w:w="3757.560045749142"/>
        <w:gridCol w:w="356.84330918795274"/>
        <w:gridCol w:w="356.84330918795274"/>
        <w:gridCol w:w="356.84330918795274"/>
        <w:gridCol w:w="2922.5467022493326"/>
        <w:gridCol w:w="356.84330918795274"/>
        <w:gridCol w:w="1252.520015249714"/>
        <w:tblGridChange w:id="0">
          <w:tblGrid>
            <w:gridCol w:w="3757.560045749142"/>
            <w:gridCol w:w="356.84330918795274"/>
            <w:gridCol w:w="356.84330918795274"/>
            <w:gridCol w:w="356.84330918795274"/>
            <w:gridCol w:w="2922.5467022493326"/>
            <w:gridCol w:w="356.84330918795274"/>
            <w:gridCol w:w="1252.5200152497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BARCLAYS BANK PLC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Ann E. Sutton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 E. Sutton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0"/>
        <w:tblW w:w="9360.0" w:type="dxa"/>
        <w:jc w:val="left"/>
        <w:tblInd w:w="0.0" w:type="pct"/>
        <w:tblLayout w:type="fixed"/>
        <w:tblLook w:val="0600"/>
      </w:tblPr>
      <w:tblGrid>
        <w:gridCol w:w="3757.560045749142"/>
        <w:gridCol w:w="356.84330918795274"/>
        <w:gridCol w:w="356.84330918795274"/>
        <w:gridCol w:w="356.84330918795274"/>
        <w:gridCol w:w="2922.5467022493326"/>
        <w:gridCol w:w="356.84330918795274"/>
        <w:gridCol w:w="1252.520015249714"/>
        <w:tblGridChange w:id="0">
          <w:tblGrid>
            <w:gridCol w:w="3757.560045749142"/>
            <w:gridCol w:w="356.84330918795274"/>
            <w:gridCol w:w="356.84330918795274"/>
            <w:gridCol w:w="356.84330918795274"/>
            <w:gridCol w:w="2922.5467022493326"/>
            <w:gridCol w:w="356.84330918795274"/>
            <w:gridCol w:w="1252.5200152497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REGIONS 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William A. Philipp</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A. Philipp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1"/>
        <w:tblW w:w="9360.0" w:type="dxa"/>
        <w:jc w:val="left"/>
        <w:tblInd w:w="0.0" w:type="pct"/>
        <w:tblLayout w:type="fixed"/>
        <w:tblLook w:val="0600"/>
      </w:tblPr>
      <w:tblGrid>
        <w:gridCol w:w="3757.560045749142"/>
        <w:gridCol w:w="356.84330918795274"/>
        <w:gridCol w:w="356.84330918795274"/>
        <w:gridCol w:w="356.84330918795274"/>
        <w:gridCol w:w="2922.5467022493326"/>
        <w:gridCol w:w="356.84330918795274"/>
        <w:gridCol w:w="1252.520015249714"/>
        <w:tblGridChange w:id="0">
          <w:tblGrid>
            <w:gridCol w:w="3757.560045749142"/>
            <w:gridCol w:w="356.84330918795274"/>
            <w:gridCol w:w="356.84330918795274"/>
            <w:gridCol w:w="356.84330918795274"/>
            <w:gridCol w:w="2922.5467022493326"/>
            <w:gridCol w:w="356.84330918795274"/>
            <w:gridCol w:w="1252.5200152497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Daria Mahoney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Daria Mahoney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2"/>
        <w:tblW w:w="9360.0" w:type="dxa"/>
        <w:jc w:val="left"/>
        <w:tblInd w:w="0.0" w:type="pct"/>
        <w:tblLayout w:type="fixed"/>
        <w:tblLook w:val="0600"/>
      </w:tblPr>
      <w:tblGrid>
        <w:gridCol w:w="3757.560045749142"/>
        <w:gridCol w:w="356.84330918795274"/>
        <w:gridCol w:w="356.84330918795274"/>
        <w:gridCol w:w="356.84330918795274"/>
        <w:gridCol w:w="2922.5467022493326"/>
        <w:gridCol w:w="356.84330918795274"/>
        <w:gridCol w:w="1252.520015249714"/>
        <w:tblGridChange w:id="0">
          <w:tblGrid>
            <w:gridCol w:w="3757.560045749142"/>
            <w:gridCol w:w="356.84330918795274"/>
            <w:gridCol w:w="356.84330918795274"/>
            <w:gridCol w:w="356.84330918795274"/>
            <w:gridCol w:w="2922.5467022493326"/>
            <w:gridCol w:w="356.84330918795274"/>
            <w:gridCol w:w="1252.5200152497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WHITNEY NATIONAL 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Will Jochetz</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Jochetz</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Lending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3"/>
        <w:tblW w:w="9360.0" w:type="dxa"/>
        <w:jc w:val="left"/>
        <w:tblInd w:w="0.0" w:type="pct"/>
        <w:tblLayout w:type="fixed"/>
        <w:tblLook w:val="0600"/>
      </w:tblPr>
      <w:tblGrid>
        <w:gridCol w:w="3757.560045749142"/>
        <w:gridCol w:w="356.84330918795274"/>
        <w:gridCol w:w="356.84330918795274"/>
        <w:gridCol w:w="356.84330918795274"/>
        <w:gridCol w:w="2922.5467022493326"/>
        <w:gridCol w:w="356.84330918795274"/>
        <w:gridCol w:w="1252.520015249714"/>
        <w:tblGridChange w:id="0">
          <w:tblGrid>
            <w:gridCol w:w="3757.560045749142"/>
            <w:gridCol w:w="356.84330918795274"/>
            <w:gridCol w:w="356.84330918795274"/>
            <w:gridCol w:w="356.84330918795274"/>
            <w:gridCol w:w="2922.5467022493326"/>
            <w:gridCol w:w="356.84330918795274"/>
            <w:gridCol w:w="1252.5200152497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 Linda Papadakis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 Linda Papadakis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4"/>
        <w:tblW w:w="9360.0" w:type="dxa"/>
        <w:jc w:val="left"/>
        <w:tblInd w:w="0.0" w:type="pct"/>
        <w:tblLayout w:type="fixed"/>
        <w:tblLook w:val="0600"/>
      </w:tblPr>
      <w:tblGrid>
        <w:gridCol w:w="3757.560045749142"/>
        <w:gridCol w:w="356.84330918795274"/>
        <w:gridCol w:w="356.84330918795274"/>
        <w:gridCol w:w="356.84330918795274"/>
        <w:gridCol w:w="2922.5467022493326"/>
        <w:gridCol w:w="356.84330918795274"/>
        <w:gridCol w:w="1252.520015249714"/>
        <w:tblGridChange w:id="0">
          <w:tblGrid>
            <w:gridCol w:w="3757.560045749142"/>
            <w:gridCol w:w="356.84330918795274"/>
            <w:gridCol w:w="356.84330918795274"/>
            <w:gridCol w:w="356.84330918795274"/>
            <w:gridCol w:w="2922.5467022493326"/>
            <w:gridCol w:w="356.84330918795274"/>
            <w:gridCol w:w="1252.52001524971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SUMITOMO MITSUI BANKING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Masakazu Hasegawa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Masakazu Hasegawa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Manager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PERMITTED EXISTING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Prior to the date that is 45 days after the initial issuance of Debt under the 2010 Indenture, $200 million of unsecured Debt related to the 2001 issuance of 8.25% senior subordinated notes due 2011 pursuant to the 2001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$200 million of unsecured Debt related to the 2004 issuance of 6.75% senior subordinated notes due 2014 pursuant to the 2004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Up to $300 million of unsecured Debt related to the 2010 issuance of senior notes due 2017 pursuant to the 2010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