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92.00000000000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3.929593603268"/>
        <w:gridCol w:w="276.8678930390704"/>
        <w:gridCol w:w="615.4773262258534"/>
        <w:gridCol w:w="276.8678930390704"/>
        <w:gridCol w:w="492.38186098068275"/>
        <w:gridCol w:w="276.8678930390704"/>
        <w:gridCol w:w="553.929593603268"/>
        <w:gridCol w:w="276.8678930390704"/>
        <w:gridCol w:w="492.38186098068275"/>
        <w:gridCol w:w="276.8678930390704"/>
        <w:gridCol w:w="738.5727914710241"/>
        <w:gridCol w:w="276.8678930390704"/>
        <w:gridCol w:w="276.8678930390704"/>
        <w:gridCol w:w="276.8678930390704"/>
        <w:gridCol w:w="430.83412835809736"/>
        <w:gridCol w:w="276.8678930390704"/>
        <w:gridCol w:w="276.8678930390704"/>
        <w:gridCol w:w="276.8678930390704"/>
        <w:gridCol w:w="276.8678930390704"/>
        <w:gridCol w:w="276.8678930390704"/>
        <w:gridCol w:w="276.8678930390704"/>
        <w:gridCol w:w="276.8678930390704"/>
        <w:gridCol w:w="276.8678930390704"/>
        <w:gridCol w:w="276.8678930390704"/>
        <w:gridCol w:w="307.7386631129267"/>
        <w:tblGridChange w:id="0">
          <w:tblGrid>
            <w:gridCol w:w="553.929593603268"/>
            <w:gridCol w:w="276.8678930390704"/>
            <w:gridCol w:w="615.4773262258534"/>
            <w:gridCol w:w="276.8678930390704"/>
            <w:gridCol w:w="492.38186098068275"/>
            <w:gridCol w:w="276.8678930390704"/>
            <w:gridCol w:w="553.929593603268"/>
            <w:gridCol w:w="276.8678930390704"/>
            <w:gridCol w:w="492.38186098068275"/>
            <w:gridCol w:w="276.8678930390704"/>
            <w:gridCol w:w="738.5727914710241"/>
            <w:gridCol w:w="276.8678930390704"/>
            <w:gridCol w:w="276.8678930390704"/>
            <w:gridCol w:w="276.8678930390704"/>
            <w:gridCol w:w="430.83412835809736"/>
            <w:gridCol w:w="276.8678930390704"/>
            <w:gridCol w:w="276.8678930390704"/>
            <w:gridCol w:w="276.8678930390704"/>
            <w:gridCol w:w="276.8678930390704"/>
            <w:gridCol w:w="276.8678930390704"/>
            <w:gridCol w:w="276.8678930390704"/>
            <w:gridCol w:w="276.8678930390704"/>
            <w:gridCol w:w="276.8678930390704"/>
            <w:gridCol w:w="276.8678930390704"/>
            <w:gridCol w:w="307.738663112926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2"/>
                <w:szCs w:val="12"/>
              </w:rPr>
            </w:pPr>
            <w:r w:rsidDel="00000000" w:rsidR="00000000" w:rsidRPr="00000000">
              <w:rPr>
                <w:b w:val="1"/>
                <w:sz w:val="12"/>
                <w:szCs w:val="12"/>
                <w:rtl w:val="0"/>
              </w:rPr>
              <w:t xml:space="preserve">RATE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2"/>
                <w:szCs w:val="12"/>
              </w:rPr>
            </w:pPr>
            <w:r w:rsidDel="00000000" w:rsidR="00000000" w:rsidRPr="00000000">
              <w:rPr>
                <w:b w:val="1"/>
                <w:sz w:val="12"/>
                <w:szCs w:val="12"/>
                <w:rtl w:val="0"/>
              </w:rPr>
              <w:t xml:space="preserve">NEXT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2"/>
                <w:szCs w:val="12"/>
              </w:rPr>
            </w:pPr>
            <w:r w:rsidDel="00000000" w:rsidR="00000000" w:rsidRPr="00000000">
              <w:rPr>
                <w:b w:val="1"/>
                <w:sz w:val="12"/>
                <w:szCs w:val="12"/>
                <w:rtl w:val="0"/>
              </w:rPr>
              <w:t xml:space="preserve">   TRADE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2"/>
                <w:szCs w:val="12"/>
              </w:rPr>
            </w:pPr>
            <w:r w:rsidDel="00000000" w:rsidR="00000000" w:rsidRPr="00000000">
              <w:rPr>
                <w:b w:val="1"/>
                <w:sz w:val="12"/>
                <w:szCs w:val="12"/>
                <w:rtl w:val="0"/>
              </w:rPr>
              <w:t xml:space="preserve">SETTLEMENT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2"/>
                <w:szCs w:val="12"/>
              </w:rPr>
            </w:pPr>
            <w:r w:rsidDel="00000000" w:rsidR="00000000" w:rsidRPr="00000000">
              <w:rPr>
                <w:b w:val="1"/>
                <w:sz w:val="12"/>
                <w:szCs w:val="12"/>
                <w:rtl w:val="0"/>
              </w:rPr>
              <w:t xml:space="preserve">MATURITY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2"/>
                <w:szCs w:val="12"/>
              </w:rPr>
            </w:pPr>
            <w:r w:rsidDel="00000000" w:rsidR="00000000" w:rsidRPr="00000000">
              <w:rPr>
                <w:b w:val="1"/>
                <w:sz w:val="12"/>
                <w:szCs w:val="12"/>
                <w:rtl w:val="0"/>
              </w:rPr>
              <w:t xml:space="preserve">NEXT PAY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2"/>
                <w:szCs w:val="12"/>
              </w:rPr>
            </w:pPr>
            <w:r w:rsidDel="00000000" w:rsidR="00000000" w:rsidRPr="00000000">
              <w:rPr>
                <w:b w:val="1"/>
                <w:sz w:val="12"/>
                <w:szCs w:val="12"/>
                <w:rtl w:val="0"/>
              </w:rPr>
              <w:t xml:space="preserve">CALL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2"/>
                <w:szCs w:val="12"/>
              </w:rPr>
            </w:pPr>
            <w:r w:rsidDel="00000000" w:rsidR="00000000" w:rsidRPr="00000000">
              <w:rPr>
                <w:b w:val="1"/>
                <w:sz w:val="12"/>
                <w:szCs w:val="12"/>
                <w:rtl w:val="0"/>
              </w:rPr>
              <w:t xml:space="preserve">TYPE/ RATE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2"/>
                <w:szCs w:val="12"/>
              </w:rPr>
            </w:pPr>
            <w:r w:rsidDel="00000000" w:rsidR="00000000" w:rsidRPr="00000000">
              <w:rPr>
                <w:b w:val="1"/>
                <w:sz w:val="12"/>
                <w:szCs w:val="12"/>
                <w:rtl w:val="0"/>
              </w:rPr>
              <w:t xml:space="preserve">CALL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2"/>
                <w:szCs w:val="12"/>
              </w:rPr>
            </w:pPr>
            <w:r w:rsidDel="00000000" w:rsidR="00000000" w:rsidRPr="00000000">
              <w:rPr>
                <w:b w:val="1"/>
                <w:sz w:val="12"/>
                <w:szCs w:val="12"/>
                <w:rtl w:val="0"/>
              </w:rPr>
              <w:t xml:space="preserve">COUPON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2"/>
                <w:szCs w:val="12"/>
              </w:rPr>
            </w:pPr>
            <w:r w:rsidDel="00000000" w:rsidR="00000000" w:rsidRPr="00000000">
              <w:rPr>
                <w:b w:val="1"/>
                <w:sz w:val="12"/>
                <w:szCs w:val="12"/>
                <w:rtl w:val="0"/>
              </w:rPr>
              <w:t xml:space="preserve">   DATE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12"/>
                <w:szCs w:val="12"/>
              </w:rPr>
            </w:pPr>
            <w:r w:rsidDel="00000000" w:rsidR="00000000" w:rsidRPr="00000000">
              <w:rPr>
                <w:b w:val="1"/>
                <w:sz w:val="12"/>
                <w:szCs w:val="12"/>
                <w:rtl w:val="0"/>
              </w:rPr>
              <w:t xml:space="preserve">    CUSIP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2"/>
                <w:szCs w:val="12"/>
              </w:rPr>
            </w:pPr>
            <w:r w:rsidDel="00000000" w:rsidR="00000000" w:rsidRPr="00000000">
              <w:rPr>
                <w:b w:val="1"/>
                <w:sz w:val="12"/>
                <w:szCs w:val="12"/>
                <w:rtl w:val="0"/>
              </w:rPr>
              <w:t xml:space="preserve"> DATE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2"/>
                <w:szCs w:val="12"/>
              </w:rPr>
            </w:pPr>
            <w:r w:rsidDel="00000000" w:rsidR="00000000" w:rsidRPr="00000000">
              <w:rPr>
                <w:b w:val="1"/>
                <w:sz w:val="12"/>
                <w:szCs w:val="12"/>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2"/>
                <w:szCs w:val="12"/>
              </w:rPr>
            </w:pPr>
            <w:r w:rsidDel="00000000" w:rsidR="00000000" w:rsidRPr="00000000">
              <w:rPr>
                <w:b w:val="1"/>
                <w:sz w:val="12"/>
                <w:szCs w:val="12"/>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2"/>
                <w:szCs w:val="12"/>
              </w:rPr>
            </w:pPr>
            <w:r w:rsidDel="00000000" w:rsidR="00000000" w:rsidRPr="00000000">
              <w:rPr>
                <w:b w:val="1"/>
                <w:sz w:val="12"/>
                <w:szCs w:val="12"/>
                <w:rtl w:val="0"/>
              </w:rPr>
              <w:t xml:space="preserve">CALL TYPE (1)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2"/>
                <w:szCs w:val="12"/>
              </w:rPr>
            </w:pPr>
            <w:r w:rsidDel="00000000" w:rsidR="00000000" w:rsidRPr="00000000">
              <w:rPr>
                <w:b w:val="1"/>
                <w:sz w:val="12"/>
                <w:szCs w:val="12"/>
                <w:rtl w:val="0"/>
              </w:rPr>
              <w:t xml:space="preserve">STYLE (2)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2"/>
                <w:szCs w:val="12"/>
              </w:rPr>
            </w:pPr>
            <w:r w:rsidDel="00000000" w:rsidR="00000000" w:rsidRPr="00000000">
              <w:rPr>
                <w:b w:val="1"/>
                <w:sz w:val="12"/>
                <w:szCs w:val="12"/>
                <w:rtl w:val="0"/>
              </w:rPr>
              <w:t xml:space="preserve">SUB-TYPE (3)(4)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2"/>
                <w:szCs w:val="12"/>
              </w:rPr>
            </w:pPr>
            <w:r w:rsidDel="00000000" w:rsidR="00000000" w:rsidRPr="00000000">
              <w:rPr>
                <w:b w:val="1"/>
                <w:sz w:val="12"/>
                <w:szCs w:val="12"/>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2"/>
                <w:szCs w:val="12"/>
              </w:rPr>
            </w:pPr>
            <w:r w:rsidDel="00000000" w:rsidR="00000000" w:rsidRPr="00000000">
              <w:rPr>
                <w:b w:val="1"/>
                <w:sz w:val="12"/>
                <w:szCs w:val="12"/>
                <w:rtl w:val="0"/>
              </w:rPr>
              <w:t xml:space="preserve">PCT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2"/>
                <w:szCs w:val="12"/>
              </w:rPr>
            </w:pPr>
            <w:r w:rsidDel="00000000" w:rsidR="00000000" w:rsidRPr="00000000">
              <w:rPr>
                <w:b w:val="1"/>
                <w:sz w:val="12"/>
                <w:szCs w:val="12"/>
                <w:rtl w:val="0"/>
              </w:rPr>
              <w:t xml:space="preserve">BANK PAR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1/6/2010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3133XPCS1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1/8/2010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3/9/2012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3/9/2010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Non-Callable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Fixed Constant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3.25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2"/>
                <w:szCs w:val="12"/>
              </w:rPr>
            </w:pPr>
            <w:r w:rsidDel="00000000" w:rsidR="00000000" w:rsidRPr="00000000">
              <w:rPr>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100,000,000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1/7/2010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3133XVNU1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1/11/2010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12/12/2014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6/12/2010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Non-Callable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Fixed Constant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2.75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7,000,000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1/8/2010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6"/>
                <w:szCs w:val="16"/>
              </w:rPr>
            </w:pPr>
            <w:r w:rsidDel="00000000" w:rsidR="00000000" w:rsidRPr="00000000">
              <w:rPr>
                <w:sz w:val="16"/>
                <w:szCs w:val="16"/>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6"/>
                <w:szCs w:val="16"/>
              </w:rPr>
            </w:pPr>
            <w:r w:rsidDel="00000000" w:rsidR="00000000" w:rsidRPr="00000000">
              <w:rPr>
                <w:sz w:val="16"/>
                <w:szCs w:val="16"/>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(1)    Call Type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i w:val="1"/>
          <w:sz w:val="20"/>
          <w:szCs w:val="20"/>
          <w:rtl w:val="0"/>
        </w:rPr>
        <w:t xml:space="preserve">Optional Principal Redemption </w:t>
      </w:r>
      <w:r w:rsidDel="00000000" w:rsidR="00000000" w:rsidRPr="00000000">
        <w:rPr>
          <w:sz w:val="20"/>
          <w:szCs w:val="20"/>
          <w:rtl w:val="0"/>
        </w:rPr>
        <w:t xml:space="preserve">bonds (callable bonds) may be redeemed by the Bank in whole or in part at its discretion on predetermined call dates, according to the terms of the bond.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i w:val="1"/>
          <w:sz w:val="20"/>
          <w:szCs w:val="20"/>
          <w:rtl w:val="0"/>
        </w:rPr>
        <w:t xml:space="preserve">Indexed Amortizing Notes </w:t>
      </w:r>
      <w:r w:rsidDel="00000000" w:rsidR="00000000" w:rsidRPr="00000000">
        <w:rPr>
          <w:sz w:val="20"/>
          <w:szCs w:val="20"/>
          <w:rtl w:val="0"/>
        </w:rPr>
        <w:t xml:space="preserve">(indexed principal redemption bonds) repay principal based on a predetermined amortization schedule or formula that is linked to the level of a certain index, according to the terms of the bond.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i w:val="1"/>
          <w:sz w:val="20"/>
          <w:szCs w:val="20"/>
          <w:rtl w:val="0"/>
        </w:rPr>
        <w:t xml:space="preserve">Scheduled Amortizing Notes </w:t>
      </w:r>
      <w:r w:rsidDel="00000000" w:rsidR="00000000" w:rsidRPr="00000000">
        <w:rPr>
          <w:sz w:val="20"/>
          <w:szCs w:val="20"/>
          <w:rtl w:val="0"/>
        </w:rPr>
        <w:t xml:space="preserve">repay principal based on a predetermined amortization schedule, according to the terms of the bond.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(2)    Call Style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Indicates whether the consolidated obligation is redeemable at the option of the Bank, and if so redeemable, the type of redemption provision. The types of redemption provisions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Verdana" w:cs="Verdana" w:eastAsia="Verdana" w:hAnsi="Verdana"/>
          <w:sz w:val="20"/>
          <w:szCs w:val="20"/>
          <w:rtl w:val="0"/>
        </w:rPr>
        <w:t xml:space="preserve">Ÿ</w:t>
      </w:r>
      <w:r w:rsidDel="00000000" w:rsidR="00000000" w:rsidRPr="00000000">
        <w:rPr>
          <w:sz w:val="20"/>
          <w:szCs w:val="20"/>
          <w:rtl w:val="0"/>
        </w:rPr>
        <w:t xml:space="preserve">    American-redeemable continuously on and after the first redemption date and until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Verdana" w:cs="Verdana" w:eastAsia="Verdana" w:hAnsi="Verdana"/>
          <w:sz w:val="20"/>
          <w:szCs w:val="20"/>
          <w:rtl w:val="0"/>
        </w:rPr>
        <w:t xml:space="preserve">Ÿ</w:t>
      </w:r>
      <w:r w:rsidDel="00000000" w:rsidR="00000000" w:rsidRPr="00000000">
        <w:rPr>
          <w:sz w:val="20"/>
          <w:szCs w:val="20"/>
          <w:rtl w:val="0"/>
        </w:rPr>
        <w:t xml:space="preserve">    Bermudan-redeemable on specified recurring dates on and after the first redemption date, until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Verdana" w:cs="Verdana" w:eastAsia="Verdana" w:hAnsi="Verdana"/>
          <w:sz w:val="20"/>
          <w:szCs w:val="20"/>
          <w:rtl w:val="0"/>
        </w:rPr>
        <w:t xml:space="preserve">Ÿ</w:t>
      </w:r>
      <w:r w:rsidDel="00000000" w:rsidR="00000000" w:rsidRPr="00000000">
        <w:rPr>
          <w:sz w:val="20"/>
          <w:szCs w:val="20"/>
          <w:rtl w:val="0"/>
        </w:rPr>
        <w:t xml:space="preserve">    European-redeemable on a particular date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Verdana" w:cs="Verdana" w:eastAsia="Verdana" w:hAnsi="Verdana"/>
          <w:sz w:val="20"/>
          <w:szCs w:val="20"/>
          <w:rtl w:val="0"/>
        </w:rPr>
        <w:t xml:space="preserve">Ÿ</w:t>
      </w:r>
      <w:r w:rsidDel="00000000" w:rsidR="00000000" w:rsidRPr="00000000">
        <w:rPr>
          <w:sz w:val="20"/>
          <w:szCs w:val="20"/>
          <w:rtl w:val="0"/>
        </w:rPr>
        <w:t xml:space="preserve">    Canary-redeemable on specified recurring dates on and after the first redemption date until a specified date prior to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Verdana" w:cs="Verdana" w:eastAsia="Verdana" w:hAnsi="Verdana"/>
          <w:sz w:val="20"/>
          <w:szCs w:val="20"/>
          <w:rtl w:val="0"/>
        </w:rPr>
        <w:t xml:space="preserve">Ÿ</w:t>
      </w:r>
      <w:r w:rsidDel="00000000" w:rsidR="00000000" w:rsidRPr="00000000">
        <w:rPr>
          <w:sz w:val="20"/>
          <w:szCs w:val="20"/>
          <w:rtl w:val="0"/>
        </w:rPr>
        <w:t xml:space="preserve">    Multi-European-redeemable on particular dates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(3)    Rate Type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i w:val="1"/>
          <w:sz w:val="20"/>
          <w:szCs w:val="20"/>
          <w:rtl w:val="0"/>
        </w:rPr>
        <w:t xml:space="preserve">Conversion </w:t>
      </w:r>
      <w:r w:rsidDel="00000000" w:rsidR="00000000" w:rsidRPr="00000000">
        <w:rPr>
          <w:sz w:val="20"/>
          <w:szCs w:val="20"/>
          <w:rtl w:val="0"/>
        </w:rPr>
        <w:t xml:space="preserve">bonds have coupons that convert from fixed to variable, or variable to fixed, or a mix of capped coupons and non-capped coupons, or from one variable type to another, or from one U.S. or other currency index to another, according to the terms of the bond.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i w:val="1"/>
          <w:sz w:val="20"/>
          <w:szCs w:val="20"/>
          <w:rtl w:val="0"/>
        </w:rPr>
        <w:t xml:space="preserve">Fixed </w:t>
      </w:r>
      <w:r w:rsidDel="00000000" w:rsidR="00000000" w:rsidRPr="00000000">
        <w:rPr>
          <w:sz w:val="20"/>
          <w:szCs w:val="20"/>
          <w:rtl w:val="0"/>
        </w:rPr>
        <w:t xml:space="preserve">bonds generally pay interest at constant or stepped fixed rates over the life of the bond, according to the terms of the bond.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i w:val="1"/>
          <w:sz w:val="20"/>
          <w:szCs w:val="20"/>
          <w:rtl w:val="0"/>
        </w:rPr>
        <w:t xml:space="preserve">Variable </w:t>
      </w:r>
      <w:r w:rsidDel="00000000" w:rsidR="00000000" w:rsidRPr="00000000">
        <w:rPr>
          <w:sz w:val="20"/>
          <w:szCs w:val="20"/>
          <w:rtl w:val="0"/>
        </w:rPr>
        <w:t xml:space="preserve">bonds may pay interest at different rates over the life of the bond, according to the terms of the bond.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sz w:val="20"/>
          <w:szCs w:val="20"/>
          <w:rtl w:val="0"/>
        </w:rPr>
        <w:t xml:space="preserve">(4)    Rate Sub-Type Description</w:t>
      </w:r>
      <w:r w:rsidDel="00000000" w:rsidR="00000000" w:rsidRPr="00000000">
        <w:rPr>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i w:val="1"/>
          <w:sz w:val="20"/>
          <w:szCs w:val="20"/>
          <w:rtl w:val="0"/>
        </w:rPr>
        <w:t xml:space="preserve">Constant </w:t>
      </w:r>
      <w:r w:rsidDel="00000000" w:rsidR="00000000" w:rsidRPr="00000000">
        <w:rPr>
          <w:sz w:val="20"/>
          <w:szCs w:val="20"/>
          <w:rtl w:val="0"/>
        </w:rPr>
        <w:t xml:space="preserve">bonds generally pay interest at fixed rates over the life of the bond, according to the terms of the bond.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i w:val="1"/>
          <w:sz w:val="20"/>
          <w:szCs w:val="20"/>
          <w:rtl w:val="0"/>
        </w:rPr>
        <w:t xml:space="preserve">Step Down </w:t>
      </w:r>
      <w:r w:rsidDel="00000000" w:rsidR="00000000" w:rsidRPr="00000000">
        <w:rPr>
          <w:sz w:val="20"/>
          <w:szCs w:val="20"/>
          <w:rtl w:val="0"/>
        </w:rPr>
        <w:t xml:space="preserve">bonds generally pay interest at decreasing fixed rates for specified intervals over the life of the bond, according to the terms of the bond.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i w:val="1"/>
          <w:sz w:val="20"/>
          <w:szCs w:val="20"/>
          <w:rtl w:val="0"/>
        </w:rPr>
        <w:t xml:space="preserve">Step Up </w:t>
      </w:r>
      <w:r w:rsidDel="00000000" w:rsidR="00000000" w:rsidRPr="00000000">
        <w:rPr>
          <w:sz w:val="20"/>
          <w:szCs w:val="20"/>
          <w:rtl w:val="0"/>
        </w:rPr>
        <w:t xml:space="preserve">bonds generally pay interest at increasing fixed rates for specified intervals over the life of the bond, according to the terms of the bond.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i w:val="1"/>
          <w:sz w:val="20"/>
          <w:szCs w:val="20"/>
          <w:rtl w:val="0"/>
        </w:rPr>
        <w:t xml:space="preserve">Step Up/Down </w:t>
      </w:r>
      <w:r w:rsidDel="00000000" w:rsidR="00000000" w:rsidRPr="00000000">
        <w:rPr>
          <w:sz w:val="20"/>
          <w:szCs w:val="20"/>
          <w:rtl w:val="0"/>
        </w:rPr>
        <w:t xml:space="preserve">bonds generally pay interest at various fixed rates for specified intervals over the life of the bond, according to the terms of the bond.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i w:val="1"/>
          <w:sz w:val="20"/>
          <w:szCs w:val="20"/>
          <w:rtl w:val="0"/>
        </w:rPr>
        <w:t xml:space="preserve">Zero Coupon </w:t>
      </w:r>
      <w:r w:rsidDel="00000000" w:rsidR="00000000" w:rsidRPr="00000000">
        <w:rPr>
          <w:sz w:val="20"/>
          <w:szCs w:val="20"/>
          <w:rtl w:val="0"/>
        </w:rPr>
        <w:t xml:space="preserve">bonds earn a fixed yield to maturity or the optional principal redemption date, according to the terms of the bond, with principal and interest paid at maturity, or upon redemption to the extent exercised prior to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i w:val="1"/>
          <w:sz w:val="20"/>
          <w:szCs w:val="20"/>
          <w:rtl w:val="0"/>
        </w:rPr>
        <w:t xml:space="preserve">Capped Floater </w:t>
      </w:r>
      <w:r w:rsidDel="00000000" w:rsidR="00000000" w:rsidRPr="00000000">
        <w:rPr>
          <w:sz w:val="20"/>
          <w:szCs w:val="20"/>
          <w:rtl w:val="0"/>
        </w:rPr>
        <w:t xml:space="preserve">bonds have an interest rate that cannot exceed a stated or calculated ceiling, according to the terms of the bond.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i w:val="1"/>
          <w:sz w:val="20"/>
          <w:szCs w:val="20"/>
          <w:rtl w:val="0"/>
        </w:rPr>
        <w:t xml:space="preserve">Dual Index Floater </w:t>
      </w:r>
      <w:r w:rsidDel="00000000" w:rsidR="00000000" w:rsidRPr="00000000">
        <w:rPr>
          <w:sz w:val="20"/>
          <w:szCs w:val="20"/>
          <w:rtl w:val="0"/>
        </w:rPr>
        <w:t xml:space="preserve">bonds have an interest rate determined by two or more indices, according to the terms of the bond.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i w:val="1"/>
          <w:sz w:val="20"/>
          <w:szCs w:val="20"/>
          <w:rtl w:val="0"/>
        </w:rPr>
        <w:t xml:space="preserve">Leveraged/Deleveraged </w:t>
      </w:r>
      <w:r w:rsidDel="00000000" w:rsidR="00000000" w:rsidRPr="00000000">
        <w:rPr>
          <w:sz w:val="20"/>
          <w:szCs w:val="20"/>
          <w:rtl w:val="0"/>
        </w:rPr>
        <w:t xml:space="preserve">bonds pay interest based on a formula that includes an expressed multiplier, according to the terms of the bond: multiplier &gt; 1 = leveraged, multiplier &lt; 1 = deleveraged.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i w:val="1"/>
          <w:sz w:val="20"/>
          <w:szCs w:val="20"/>
          <w:rtl w:val="0"/>
        </w:rPr>
        <w:t xml:space="preserve">Inverse Floater </w:t>
      </w:r>
      <w:r w:rsidDel="00000000" w:rsidR="00000000" w:rsidRPr="00000000">
        <w:rPr>
          <w:sz w:val="20"/>
          <w:szCs w:val="20"/>
          <w:rtl w:val="0"/>
        </w:rPr>
        <w:t xml:space="preserve">bonds have an interest rate that increases as an index declines and decreases as an index rises, according to the terms of the bond.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i w:val="1"/>
          <w:sz w:val="20"/>
          <w:szCs w:val="20"/>
          <w:rtl w:val="0"/>
        </w:rPr>
        <w:t xml:space="preserve">Stepped Floater </w:t>
      </w:r>
      <w:r w:rsidDel="00000000" w:rsidR="00000000" w:rsidRPr="00000000">
        <w:rPr>
          <w:sz w:val="20"/>
          <w:szCs w:val="20"/>
          <w:rtl w:val="0"/>
        </w:rPr>
        <w:t xml:space="preserve">bonds pay interest based on an increasing spread over an index, according to the terms of the bond.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i w:val="1"/>
          <w:sz w:val="20"/>
          <w:szCs w:val="20"/>
          <w:rtl w:val="0"/>
        </w:rPr>
        <w:t xml:space="preserve">Range </w:t>
      </w:r>
      <w:r w:rsidDel="00000000" w:rsidR="00000000" w:rsidRPr="00000000">
        <w:rPr>
          <w:sz w:val="20"/>
          <w:szCs w:val="20"/>
          <w:rtl w:val="0"/>
        </w:rPr>
        <w:t xml:space="preserve">bonds may pay interest at different rates depending upon whether a specified index is inside or outside a specified range, according to the terms of the bond.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i w:val="1"/>
          <w:sz w:val="20"/>
          <w:szCs w:val="20"/>
          <w:rtl w:val="0"/>
        </w:rPr>
        <w:t xml:space="preserve">Single Index Floater </w:t>
      </w:r>
      <w:r w:rsidDel="00000000" w:rsidR="00000000" w:rsidRPr="00000000">
        <w:rPr>
          <w:sz w:val="20"/>
          <w:szCs w:val="20"/>
          <w:rtl w:val="0"/>
        </w:rPr>
        <w:t xml:space="preserve">bonds pay interest at a rate that increases as an index rises and decreases as an index declines, according to the terms of the bond.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i w:val="1"/>
          <w:sz w:val="20"/>
          <w:szCs w:val="20"/>
          <w:rtl w:val="0"/>
        </w:rPr>
        <w:t xml:space="preserve">Ratchet Floater </w:t>
      </w:r>
      <w:r w:rsidDel="00000000" w:rsidR="00000000" w:rsidRPr="00000000">
        <w:rPr>
          <w:sz w:val="20"/>
          <w:szCs w:val="20"/>
          <w:rtl w:val="0"/>
        </w:rPr>
        <w:t xml:space="preserve">bonds pay interest subject to increasing floors, according to the terms of the bond, such that subsequent coupons may not be lower than the previous coupon.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