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2009775" cy="704850"/>
                  <wp:effectExtent b="0" l="0" r="0" t="0"/>
                  <wp:docPr id="1" name="image3.jpg"/>
                  <a:graphic>
                    <a:graphicData uri="http://schemas.openxmlformats.org/drawingml/2006/picture">
                      <pic:pic>
                        <pic:nvPicPr>
                          <pic:cNvPr id="0" name="image3.jpg"/>
                          <pic:cNvPicPr preferRelativeResize="0"/>
                        </pic:nvPicPr>
                        <pic:blipFill>
                          <a:blip r:embed="rId5"/>
                          <a:srcRect b="0" l="0" r="0" t="0"/>
                          <a:stretch>
                            <a:fillRect/>
                          </a:stretch>
                        </pic:blipFill>
                        <pic:spPr>
                          <a:xfrm>
                            <a:off x="0" y="0"/>
                            <a:ext cx="2009775" cy="70485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MIKTAM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Confidential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TO CONSULTANT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Agreement (this "Amendment") is made on December 30, 2008 and amendment to the Consultant Agreement signed on October 01, 2008, by and between Miktam Technologies, Inc. (the "Company"), a corporation organized and existing under the laws of the stale of California; and Psalm Technologies, Inc.  </w:t>
      </w:r>
      <w:r w:rsidDel="00000000" w:rsidR="00000000" w:rsidRPr="00000000">
        <w:rPr>
          <w:rFonts w:ascii="Times New Roman" w:cs="Times New Roman" w:eastAsia="Times New Roman" w:hAnsi="Times New Roman"/>
          <w:sz w:val="20"/>
          <w:szCs w:val="20"/>
        </w:rPr>
        <w:drawing>
          <wp:inline distB="19050" distT="19050" distL="19050" distR="19050">
            <wp:extent cx="1190625" cy="16192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190625" cy="16192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the "Consultant"), a corporation organized and existing under the laws of the Republic of China, Taiwan..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Consultant and Company agree as following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Payment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Consultant the amount of  Twenty Seven Thousand dollars ($27,000 USD) for the services performed pursuant to the Consulting Agreement on the monthly basis.   The payments shall be made within 7 days from first day ot each month during this agreement period. It is anticipated and acknowledged by the parties that compensation programs are subject to change in the normal course of business by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Agreement has been executed by the parties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Miktam Technologies, Inc.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2362 B Qume Drive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San Jose, CA 95131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The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Psalm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2IF.-1, No. 171, Songde Rd., Sinyi Dist.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Taipei City 110, Taiwan, R.O.C.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5.2"/>
        <w:gridCol w:w="2620.8"/>
        <w:gridCol w:w="1123.1999999999998"/>
        <w:gridCol w:w="561.5999999999999"/>
        <w:gridCol w:w="3275.9999999999995"/>
        <w:gridCol w:w="1123.1999999999998"/>
        <w:tblGridChange w:id="0">
          <w:tblGrid>
            <w:gridCol w:w="655.2"/>
            <w:gridCol w:w="2620.8"/>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Chao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Jui-Tien Tsai</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Chao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Jui-T ien Tsai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12/30/2008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12/30/2008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4.jpg"/></Relationships>
</file>