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FIRST AMENDMENT TO AGREEMENT AND PLAN OF MERGER (“</w:t>
      </w:r>
      <w:r w:rsidDel="00000000" w:rsidR="00000000" w:rsidRPr="00000000">
        <w:rPr>
          <w:rFonts w:ascii="Times New Roman" w:cs="Times New Roman" w:eastAsia="Times New Roman" w:hAnsi="Times New Roman"/>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 is entered into as of this 4th day of January, 2010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by and among RICHARD M. OSBORNE, TRUSTEE, an Ohio resident (“</w:t>
      </w:r>
      <w:r w:rsidDel="00000000" w:rsidR="00000000" w:rsidRPr="00000000">
        <w:rPr>
          <w:rFonts w:ascii="Times New Roman" w:cs="Times New Roman" w:eastAsia="Times New Roman" w:hAnsi="Times New Roman"/>
          <w:sz w:val="20"/>
          <w:szCs w:val="20"/>
          <w:u w:val="single"/>
          <w:rtl w:val="0"/>
        </w:rPr>
        <w:t xml:space="preserve">RMO</w:t>
      </w:r>
      <w:r w:rsidDel="00000000" w:rsidR="00000000" w:rsidRPr="00000000">
        <w:rPr>
          <w:rFonts w:ascii="Times New Roman" w:cs="Times New Roman" w:eastAsia="Times New Roman" w:hAnsi="Times New Roman"/>
          <w:sz w:val="20"/>
          <w:szCs w:val="20"/>
          <w:rtl w:val="0"/>
        </w:rPr>
        <w:t xml:space="preserve">”), REBECCA HOWELL (“</w:t>
      </w:r>
      <w:r w:rsidDel="00000000" w:rsidR="00000000" w:rsidRPr="00000000">
        <w:rPr>
          <w:rFonts w:ascii="Times New Roman" w:cs="Times New Roman" w:eastAsia="Times New Roman" w:hAnsi="Times New Roman"/>
          <w:sz w:val="20"/>
          <w:szCs w:val="20"/>
          <w:u w:val="single"/>
          <w:rtl w:val="0"/>
        </w:rPr>
        <w:t xml:space="preserve">Howell</w:t>
      </w:r>
      <w:r w:rsidDel="00000000" w:rsidR="00000000" w:rsidRPr="00000000">
        <w:rPr>
          <w:rFonts w:ascii="Times New Roman" w:cs="Times New Roman" w:eastAsia="Times New Roman" w:hAnsi="Times New Roman"/>
          <w:sz w:val="20"/>
          <w:szCs w:val="20"/>
          <w:rtl w:val="0"/>
        </w:rPr>
        <w:t xml:space="preserve">”), STEPHEN G. RIGO (“</w:t>
      </w:r>
      <w:r w:rsidDel="00000000" w:rsidR="00000000" w:rsidRPr="00000000">
        <w:rPr>
          <w:rFonts w:ascii="Times New Roman" w:cs="Times New Roman" w:eastAsia="Times New Roman" w:hAnsi="Times New Roman"/>
          <w:sz w:val="20"/>
          <w:szCs w:val="20"/>
          <w:u w:val="single"/>
          <w:rtl w:val="0"/>
        </w:rPr>
        <w:t xml:space="preserve">Rigo</w:t>
      </w:r>
      <w:r w:rsidDel="00000000" w:rsidR="00000000" w:rsidRPr="00000000">
        <w:rPr>
          <w:rFonts w:ascii="Times New Roman" w:cs="Times New Roman" w:eastAsia="Times New Roman" w:hAnsi="Times New Roman"/>
          <w:sz w:val="20"/>
          <w:szCs w:val="20"/>
          <w:rtl w:val="0"/>
        </w:rPr>
        <w:t xml:space="preserve">”), MARTY WHELAN (“</w:t>
      </w:r>
      <w:r w:rsidDel="00000000" w:rsidR="00000000" w:rsidRPr="00000000">
        <w:rPr>
          <w:rFonts w:ascii="Times New Roman" w:cs="Times New Roman" w:eastAsia="Times New Roman" w:hAnsi="Times New Roman"/>
          <w:sz w:val="20"/>
          <w:szCs w:val="20"/>
          <w:u w:val="single"/>
          <w:rtl w:val="0"/>
        </w:rPr>
        <w:t xml:space="preserve">Whelan</w:t>
      </w:r>
      <w:r w:rsidDel="00000000" w:rsidR="00000000" w:rsidRPr="00000000">
        <w:rPr>
          <w:rFonts w:ascii="Times New Roman" w:cs="Times New Roman" w:eastAsia="Times New Roman" w:hAnsi="Times New Roman"/>
          <w:sz w:val="20"/>
          <w:szCs w:val="20"/>
          <w:rtl w:val="0"/>
        </w:rPr>
        <w:t xml:space="preserve">”), and THOMAS J. SMITH (“</w:t>
      </w:r>
      <w:r w:rsidDel="00000000" w:rsidR="00000000" w:rsidRPr="00000000">
        <w:rPr>
          <w:rFonts w:ascii="Times New Roman" w:cs="Times New Roman" w:eastAsia="Times New Roman" w:hAnsi="Times New Roman"/>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(RMO, Howell, Rigo, Whelan and Smith are hereinafter collectively referred to as “</w:t>
      </w:r>
      <w:r w:rsidDel="00000000" w:rsidR="00000000" w:rsidRPr="00000000">
        <w:rPr>
          <w:rFonts w:ascii="Times New Roman" w:cs="Times New Roman" w:eastAsia="Times New Roman" w:hAnsi="Times New Roman"/>
          <w:sz w:val="20"/>
          <w:szCs w:val="20"/>
          <w:u w:val="single"/>
          <w:rtl w:val="0"/>
        </w:rPr>
        <w:t xml:space="preserve">Shareholders</w:t>
      </w:r>
      <w:r w:rsidDel="00000000" w:rsidR="00000000" w:rsidRPr="00000000">
        <w:rPr>
          <w:rFonts w:ascii="Times New Roman" w:cs="Times New Roman" w:eastAsia="Times New Roman" w:hAnsi="Times New Roman"/>
          <w:sz w:val="20"/>
          <w:szCs w:val="20"/>
          <w:rtl w:val="0"/>
        </w:rPr>
        <w:t xml:space="preserve">”), LIGHTNING PIPELINE CO., INC., an Ohio corporation (“</w:t>
      </w:r>
      <w:r w:rsidDel="00000000" w:rsidR="00000000" w:rsidRPr="00000000">
        <w:rPr>
          <w:rFonts w:ascii="Times New Roman" w:cs="Times New Roman" w:eastAsia="Times New Roman" w:hAnsi="Times New Roman"/>
          <w:sz w:val="20"/>
          <w:szCs w:val="20"/>
          <w:u w:val="single"/>
          <w:rtl w:val="0"/>
        </w:rPr>
        <w:t xml:space="preserve">Lightning</w:t>
      </w:r>
      <w:r w:rsidDel="00000000" w:rsidR="00000000" w:rsidRPr="00000000">
        <w:rPr>
          <w:rFonts w:ascii="Times New Roman" w:cs="Times New Roman" w:eastAsia="Times New Roman" w:hAnsi="Times New Roman"/>
          <w:sz w:val="20"/>
          <w:szCs w:val="20"/>
          <w:rtl w:val="0"/>
        </w:rPr>
        <w:t xml:space="preserve">”), GREAT PLAINS NATURAL GAS COMPANY, an Ohio corporation (“</w:t>
      </w:r>
      <w:r w:rsidDel="00000000" w:rsidR="00000000" w:rsidRPr="00000000">
        <w:rPr>
          <w:rFonts w:ascii="Times New Roman" w:cs="Times New Roman" w:eastAsia="Times New Roman" w:hAnsi="Times New Roman"/>
          <w:sz w:val="20"/>
          <w:szCs w:val="20"/>
          <w:u w:val="single"/>
          <w:rtl w:val="0"/>
        </w:rPr>
        <w:t xml:space="preserve">Great Plains</w:t>
      </w:r>
      <w:r w:rsidDel="00000000" w:rsidR="00000000" w:rsidRPr="00000000">
        <w:rPr>
          <w:rFonts w:ascii="Times New Roman" w:cs="Times New Roman" w:eastAsia="Times New Roman" w:hAnsi="Times New Roman"/>
          <w:sz w:val="20"/>
          <w:szCs w:val="20"/>
          <w:rtl w:val="0"/>
        </w:rPr>
        <w:t xml:space="preserve">”), and BRAINARD GAS CORP., an Ohio corporation (“</w:t>
      </w:r>
      <w:r w:rsidDel="00000000" w:rsidR="00000000" w:rsidRPr="00000000">
        <w:rPr>
          <w:rFonts w:ascii="Times New Roman" w:cs="Times New Roman" w:eastAsia="Times New Roman" w:hAnsi="Times New Roman"/>
          <w:sz w:val="20"/>
          <w:szCs w:val="20"/>
          <w:u w:val="single"/>
          <w:rtl w:val="0"/>
        </w:rPr>
        <w:t xml:space="preserve">BGC</w:t>
      </w:r>
      <w:r w:rsidDel="00000000" w:rsidR="00000000" w:rsidRPr="00000000">
        <w:rPr>
          <w:rFonts w:ascii="Times New Roman" w:cs="Times New Roman" w:eastAsia="Times New Roman" w:hAnsi="Times New Roman"/>
          <w:sz w:val="20"/>
          <w:szCs w:val="20"/>
          <w:rtl w:val="0"/>
        </w:rPr>
        <w:t xml:space="preserve">”), (Lightning, Great Plains and BGC shall be collectively referred to as the “</w:t>
      </w:r>
      <w:r w:rsidDel="00000000" w:rsidR="00000000" w:rsidRPr="00000000">
        <w:rPr>
          <w:rFonts w:ascii="Times New Roman" w:cs="Times New Roman" w:eastAsia="Times New Roman" w:hAnsi="Times New Roman"/>
          <w:sz w:val="20"/>
          <w:szCs w:val="20"/>
          <w:u w:val="single"/>
          <w:rtl w:val="0"/>
        </w:rPr>
        <w:t xml:space="preserve">Companies</w:t>
      </w:r>
      <w:r w:rsidDel="00000000" w:rsidR="00000000" w:rsidRPr="00000000">
        <w:rPr>
          <w:rFonts w:ascii="Times New Roman" w:cs="Times New Roman" w:eastAsia="Times New Roman" w:hAnsi="Times New Roman"/>
          <w:sz w:val="20"/>
          <w:szCs w:val="20"/>
          <w:rtl w:val="0"/>
        </w:rPr>
        <w:t xml:space="preserve">” and each to be sometimes referred to as a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LIGHTNING PIPELINE ACQUISITION INC., GREAT PLAINS ACQUISITION INC. and BRAINARD ACQUISITION INC. (each an “</w:t>
      </w:r>
      <w:r w:rsidDel="00000000" w:rsidR="00000000" w:rsidRPr="00000000">
        <w:rPr>
          <w:rFonts w:ascii="Times New Roman" w:cs="Times New Roman" w:eastAsia="Times New Roman" w:hAnsi="Times New Roman"/>
          <w:sz w:val="20"/>
          <w:szCs w:val="20"/>
          <w:u w:val="single"/>
          <w:rtl w:val="0"/>
        </w:rPr>
        <w:t xml:space="preserve">Acquisition Sub</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Acquisition Subs</w:t>
      </w:r>
      <w:r w:rsidDel="00000000" w:rsidR="00000000" w:rsidRPr="00000000">
        <w:rPr>
          <w:rFonts w:ascii="Times New Roman" w:cs="Times New Roman" w:eastAsia="Times New Roman" w:hAnsi="Times New Roman"/>
          <w:sz w:val="20"/>
          <w:szCs w:val="20"/>
          <w:rtl w:val="0"/>
        </w:rPr>
        <w:t xml:space="preserve">”) and ENERGY, INC., a corporation incorporated under the laws of the State of Montana, USA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On June 29, 2009, Shareholders, the Companies and Parent entered into an Agreement and Plan of Merger whereby a “to-be-formed” acquisition subsidiary of Parent will merge with and into each of Lightning, Great Plains and Brainard, with Lightning, Great Plains and BGC surviving the merger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On August 3, 2009, Energy West, Incorporated (“</w:t>
      </w:r>
      <w:r w:rsidDel="00000000" w:rsidR="00000000" w:rsidRPr="00000000">
        <w:rPr>
          <w:rFonts w:ascii="Times New Roman" w:cs="Times New Roman" w:eastAsia="Times New Roman" w:hAnsi="Times New Roman"/>
          <w:sz w:val="20"/>
          <w:szCs w:val="20"/>
          <w:u w:val="single"/>
          <w:rtl w:val="0"/>
        </w:rPr>
        <w:t xml:space="preserve">Energy West</w:t>
      </w:r>
      <w:r w:rsidDel="00000000" w:rsidR="00000000" w:rsidRPr="00000000">
        <w:rPr>
          <w:rFonts w:ascii="Times New Roman" w:cs="Times New Roman" w:eastAsia="Times New Roman" w:hAnsi="Times New Roman"/>
          <w:sz w:val="20"/>
          <w:szCs w:val="20"/>
          <w:rtl w:val="0"/>
        </w:rPr>
        <w:t xml:space="preserve">”), the original “Parent” under the terms of the Merger Agreement, completed a holding company reorganization whereby Energy West became a wholly-owned operating subsidiary of Energy, Inc. (collectively, the “</w:t>
      </w:r>
      <w:r w:rsidDel="00000000" w:rsidR="00000000" w:rsidRPr="00000000">
        <w:rPr>
          <w:rFonts w:ascii="Times New Roman" w:cs="Times New Roman" w:eastAsia="Times New Roman" w:hAnsi="Times New Roman"/>
          <w:sz w:val="20"/>
          <w:szCs w:val="20"/>
          <w:u w:val="single"/>
          <w:rtl w:val="0"/>
        </w:rPr>
        <w:t xml:space="preserve">Holding Company Reorganization</w:t>
      </w:r>
      <w:r w:rsidDel="00000000" w:rsidR="00000000" w:rsidRPr="00000000">
        <w:rPr>
          <w:rFonts w:ascii="Times New Roman" w:cs="Times New Roman" w:eastAsia="Times New Roman" w:hAnsi="Times New Roman"/>
          <w:sz w:val="20"/>
          <w:szCs w:val="20"/>
          <w:rtl w:val="0"/>
        </w:rPr>
        <w:t xml:space="preserve">”), and Energy West subsequently entered an Assignment and Assumption Agreement whereby all of Energy West’s rights (and liabilities) under the Merger Agreement were assigned to (and assumed by) Energy, Inc., making Energy, Inc. the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for purposes of the Merger Agreement and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Acquisition Subs had not been formed at the time the Merger Agreement was originally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Acquisition Subs have now been formed and have taken all necessary corporate action to approve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parties hereto desire to amend the Merger Agreement to add the Acquisition Subs as parties and signatories to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promises and the mutual covenants herein contained and for other good and valuable consideration, the receipt and sufficiency of which is hereby acknowledged,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By signing this Amendment, the Acquisition Subs will become parties to the Merger Agreement and all references in the Merger Agreement to the “Acquisition Subs” shall be deemed to collectively refer to Lightning Pipeline Acquisition Inc., Great Plains Acquisition Inc. and Brainard Acquisition Inc., each an Ohio corporation. The Acquisition Sub referred to (a) in Section 2.1(a) of the Merger Agreement shall refer to Lightning Pipeline Acquisition, Inc., (b) in Section 2.1(b) of the Merger Agreement shall refer to Great Plains Acquisition Inc., and (c) in Section 2.1(c) of the Merger Agreement shall refer to Brainard Acquisition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This Amendment shall be governed by and construed in accordance with the laws of the State of Ohio, without regards to the principles of conflicts of laws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This Amendment may be executed in any number of counterparts, and each such counterpart shall for all purposes be deemed an original, and all such counterparts shall together constitute but one and the same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This Amendment is made effective as of the Effective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All other provisions of the Merger Agreement not modified hereby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&lt;Signatures to Immediately Follow&gt;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executed this Amendment, or caused this Amendment to be duly executed by their respective authorized officers,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72.159231978813"/>
        <w:gridCol w:w="1268.8636927915254"/>
        <w:gridCol w:w="3172.159231978813"/>
        <w:gridCol w:w="387.3210295456426"/>
        <w:gridCol w:w="1359.4968137052056"/>
        <w:tblGridChange w:id="0">
          <w:tblGrid>
            <w:gridCol w:w="3172.159231978813"/>
            <w:gridCol w:w="1268.8636927915254"/>
            <w:gridCol w:w="3172.159231978813"/>
            <w:gridCol w:w="387.3210295456426"/>
            <w:gridCol w:w="1359.4968137052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ENERGY, INC., a Montana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Kevin J. Degenstein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J. Degenstein, President and COO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Rebecca Howell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Rebecca Howell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Acquisition Subs: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Stephen G. Rigo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 G. Rigo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LIGHTNING PIPELINE ACQUISITION INC., an Ohio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Marty Whelan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Kevin J. Degenstein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Marty Whelan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J. Degenstein,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PLAINS ACQUISITION INC., 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Companies: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Kevin J. Degenstein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J. Degenstein,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LIGHTNING PIPELINE COMPANY, INC., an Ohio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BRAINARD ACQUISITION INC., an Ohio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Chairman of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Kevin J. Degenstein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J. Degenstein,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PLAINS NATURAL GAS COMPANY,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Ohio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Chairman of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BRAINARD GAS CORP., an Ohio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Chairman of the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Amendment to 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