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 $7,716.40</w:t>
        <w:br w:type="textWrapping"/>
        <w:br w:type="textWrapping"/>
        <w:t xml:space="preserve">July 1, 2009</w:t>
        <w:br w:type="textWrapping"/>
        <w:br w:type="textWrapping"/>
        <w:t xml:space="preserve">PROMISSORY NOTE</w:t>
        <w:br w:type="textWrapping"/>
        <w:br w:type="textWrapping"/>
        <w:br w:type="textWrapping"/>
        <w:t xml:space="preserve">FOR VALUE RECEIVED, the undersigned, Ecology Coatings, Inc., a Nevada corporation (the The Maker), promises to pay to the order of JB Smith LC.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(the Holder), the principal amount of Seven Thousand Seven Hundred Sixteen and 40/100 dollars ($7,716.40.00), together with interest thereon as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below.</w:t>
        <w:br w:type="textWrapping"/>
        <w:br w:type="textWrapping"/>
        <w:br w:type="textWrapping"/>
        <w:t xml:space="preserve">ARTICLE I</w:t>
        <w:br w:type="textWrapping"/>
        <w:br w:type="textWrapping"/>
        <w:br w:type="textWrapping"/>
        <w:t xml:space="preserve">TERMS OF REPAYMENT</w:t>
        <w:br w:type="textWrapping"/>
        <w:br w:type="textWrapping"/>
        <w:t xml:space="preserve">1. Interest. The Note shall bear interest (Interest) equal to five (5%) percent per annum on the unpaid principal balance, computed on a three hundred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sixty-five (365) day year, during the term of the Note. The Maker shall pay all Interest. In no event shall the rate of Interest payable on this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 exceed the maximum rate of interest permitted to be charged under applicable law.</w:t>
        <w:br w:type="textWrapping"/>
        <w:br w:type="textWrapping"/>
        <w:br w:type="textWrapping"/>
        <w:br w:type="textWrapping"/>
        <w:t xml:space="preserve">2. Payments. All payments by the Maker under this Note shall first be credited against costs and expenses provided for hereunder, second to the payment of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 penalties, third to the payment of accrued and unpaid interest, if any, and the remainder shall be credited against principal. All payments due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hereunder shall be payable in legal tender of the United States of America, and in same day funds delivered to the Holder by cashiers check, certified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check, or any other means of guaranteed funds to the mailing address provided below, or at such other place as the Holder or any holder hereof shall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designate in writing for such purpose from time to time. If a payment hereunder otherwise would become due and payable on a Saturday, Sunday or legal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holiday, the due date thereof shall be extended to the next succeeding business day, and Interest, if any, shall be payable thereon during such extension.</w:t>
        <w:br w:type="textWrapping"/>
        <w:br w:type="textWrapping"/>
        <w:br w:type="textWrapping"/>
        <w:br w:type="textWrapping"/>
        <w:t xml:space="preserve">3. Maturity Date. All of the outstanding principal and interest shall be payable within fifteen (15) days following receipt of a written payment demand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the Holder.</w:t>
        <w:br w:type="textWrapping"/>
        <w:br w:type="textWrapping"/>
        <w:br w:type="textWrapping"/>
        <w:br w:type="textWrapping"/>
        <w:t xml:space="preserve">4. Pre-Payment Demand. If the Maker completes an underwritten public offering of its common stock or other form of security convertible into common stock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pursuant to an effective registration statement under the Securities Act of 1933 (the Act), as amended, or a managed private offering exempt from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registration under Section 4(2) of the Act and Regulation D promulgated thereunder (collectively, a New Offering) which results in proceeds received by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Maker net of underwriting discounts and commissions, of at least One Million and 00/100 dollars ($1,000,000.00) (a Pre-Payment Event), then at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sole and absolute discretion of the Holder, and upon written demand to the Maker (the Pre-Payment Notice), all amounts owed under this Note shall become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due and payable within fifteen (15) days following Makers receipt of the Pre-Payment Notice.</w:t>
        <w:br w:type="textWrapping"/>
        <w:br w:type="textWrapping"/>
        <w:br w:type="textWrapping"/>
        <w:br w:type="textWrapping"/>
        <w:t xml:space="preserve">5. Exemption from Restrictions. It is the intent of the Maker and the Holder in the execution of this Note that the indebtedness hereunder be exempt from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restrictions of the usury laws of any applicable jurisdiction. The Maker and the Holder agree that none of the terms and provisions contained herein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shall be construed to create a contract for the use, forbearance or detention of money requiring payment of interest at a rate in excess of the maximum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interest rate permitted to be charged by the laws of any applicable jurisdiction. In such event, if any holder of this Note shall collect monies which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deemed to constitute interest which would otherwise increase the effective interest rate on this Note to a rate in excess of the maximum rate permitted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be charged by the laws of any applicable jurisdiction, all such sums deemed to constitute interest in excess of such maximum rate shall, at the option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such holder, be credited to the payment of this principal amount due hereunder or returned to the Maker.</w:t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ARTICLE II</w:t>
        <w:br w:type="textWrapping"/>
        <w:br w:type="textWrapping"/>
        <w:br w:type="textWrapping"/>
        <w:t xml:space="preserve">COVENANTS</w:t>
        <w:br w:type="textWrapping"/>
        <w:br w:type="textWrapping"/>
        <w:t xml:space="preserve">6. Conversion into Common Stock. If the Maker completes a New Offering, the Maker shall give the Holder the option to convert this Note, in whole or in part,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into Common Stock of the Maker based on a conversion price equal to the lower of: (a) the closing bid price per share of the Common Stock on the date first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above written as reported on the Over-The-Counter Bulletin Board, or if there is not such price on the Effective Date, then the last bid price on the date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nearest preceding the date first above written, or; (b) the average price at which the Maker sells its Common Stock in the New Offering (the Conversion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Price)(the Conversion Shares).</w:t>
        <w:br w:type="textWrapping"/>
        <w:br w:type="textWrapping"/>
        <w:br w:type="textWrapping"/>
        <w:br w:type="textWrapping"/>
        <w:t xml:space="preserve">7. Piggyback Registration. If the Conversion Shares and the Underlying Shares (collectively, the Shares) have not been otherwise registered and at any time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Maker proposes to file a registration statement, whether or not for sale for the Makers own account, on a form and in a manner that would also permit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registration of shares (other than in connection with a registration statement on Forms S-4 or S-8 or any similar or successor form) the Maker shall give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Holder, written notice of such proposed filing promptly, but in any case at least twenty (20) days before the anticipated filing. The notice referred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in the preceding sentence shall offer the holder(s) holding the Shares the opportunity to register such amount of the Shares as he may request (a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Piggyback Registration). Subject to this Section, the Maker will include in each such Piggyback Registration (and any related qualification under state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blue sky laws and other compliance filings, and in any underwriting involved therein) that portion of the Shares with respect to which the Maker has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received written requests for inclusion therein within twenty (20) days after the written notice from the Maker is given. The holders holding any portion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Shares will be permitted to withdraw all or part of the Shares from a Piggyback Registration at any time prior to the effective date of such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Piggyback Registration. Notwithstanding the foregoing, the Maker will not be obligated to effect any registration of shares under this Paragraph 7 as 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of the registration of any of its securities solely in connection with mergers effected pursuant to a Form S-4 Filing.</w:t>
        <w:br w:type="textWrapping"/>
        <w:br w:type="textWrapping"/>
        <w:br w:type="textWrapping"/>
        <w:br w:type="textWrapping"/>
        <w:t xml:space="preserve">8. Covenants Regarding Registration</w:t>
        <w:br w:type="textWrapping"/>
        <w:br w:type="textWrapping"/>
        <w:t xml:space="preserve">a. The Maker shall use its best efforts to have any registration statement declared effective at the earliest possible time, and shall furnish such number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prospectuses as shall be reasonably required.</w:t>
        <w:br w:type="textWrapping"/>
        <w:br w:type="textWrapping"/>
        <w:t xml:space="preserve">b. The Maker shall bear all costs, fees and expenses in connection with a Piggyback Registration,</w:t>
        <w:br w:type="textWrapping"/>
        <w:br w:type="textWrapping"/>
        <w:t xml:space="preserve">c. The Maker will take all necessary action which may be required in qualifying qualifying or registering the Shares included in any Piggyback Registration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offering and sale under the securities or blue sky laws of such states as are requested by the holders of such Shares, provided that the Maker shall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be obligated to execute or file any general consent to service or process or to qualify as a foreign corporation to do business under the laws of any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such jurisdiction.</w:t>
        <w:br w:type="textWrapping"/>
        <w:br w:type="textWrapping"/>
        <w:br w:type="textWrapping"/>
        <w:br w:type="textWrapping"/>
        <w:t xml:space="preserve">9. Indemnification. The Maker shall, at The Makers expense, protect, defend, indemnify, save and hold Holder harmless against any and all claims, demands,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losses, expenses, damages, causes of action (whether legal or equitable in nature) asserted by any person or entity arising out of, caused by or relating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the Note, including without limitation the construction of the Note and the use or application of the proceeds of the Note, and The Maker shall pay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Holder upon demand all claims, judgments, damages, losses and expenses (including court costs and reasonable attorneys fees and expenses) incurred by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Holder as a result of any legal or other action arising out of the Note as aforesaid.</w:t>
        <w:br w:type="textWrapping"/>
        <w:br w:type="textWrapping"/>
        <w:br w:type="textWrapping"/>
        <w:br w:type="textWrapping"/>
        <w:t xml:space="preserve">10. Attorneys Fees. The Maker shall reimburse Holder for all reasonable costs, attorneys fees, and all other expenses in connection with this Note.</w:t>
        <w:br w:type="textWrapping"/>
        <w:br w:type="textWrapping"/>
        <w:br w:type="textWrapping"/>
        <w:br w:type="textWrapping"/>
        <w:t xml:space="preserve">11. Notice of Default. So long as any amount under this Note shall remain unpaid, the Holder will, unless the Maker otherwise consents in writing,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promptly give written notice to the Maker in reasonable detail of the occurrence of any Event of Default, or any condition, event or act which with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giving of notice or the passage of time or both would constitute an Event of Default.</w:t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ARTICLE III</w:t>
        <w:br w:type="textWrapping"/>
        <w:br w:type="textWrapping"/>
        <w:br w:type="textWrapping"/>
        <w:t xml:space="preserve">DEFAULT</w:t>
        <w:br w:type="textWrapping"/>
        <w:br w:type="textWrapping"/>
        <w:t xml:space="preserve">12. Events of Default. Any of the following events shall constitute an Event of Default hereunder:</w:t>
        <w:br w:type="textWrapping"/>
        <w:br w:type="textWrapping"/>
        <w:t xml:space="preserve">a. Failure by the Maker to pay the principal or Interest, if any, of this Note when due and payable.</w:t>
        <w:br w:type="textWrapping"/>
        <w:br w:type="textWrapping"/>
        <w:br w:type="textWrapping"/>
        <w:t xml:space="preserve">b. The entry of an order for relief under Federal Bankruptcy Code as to the Maker or approving a petition in reorganization or other similar relief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under bankruptcy or similar laws in the United States of America or any other competent jurisdiction, and if such order, if involuntary, is not satisfied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withdrawn within sixty (60) days after entry thereof; or the filing of a petition by the Maker seeking any of the foregoing, or</w:t>
        <w:br w:type="textWrapping"/>
        <w:br w:type="textWrapping"/>
        <w:t xml:space="preserve">consenting thereto; or the filing of a petition to take advantage of any debtors act; or making a general assignment for the benefit of creditors; 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admitting in writing inability to pay debts as they mature; or</w:t>
        <w:br w:type="textWrapping"/>
        <w:br w:type="textWrapping"/>
        <w:br w:type="textWrapping"/>
        <w:t xml:space="preserve">c. Failure by the Maker to pay the principal and Interest, if any, of this Note concurrent with a Pre-Payment Event; or</w:t>
        <w:br w:type="textWrapping"/>
        <w:br w:type="textWrapping"/>
        <w:br w:type="textWrapping"/>
        <w:t xml:space="preserve">d. The breach of any covenant made by the Maker in this Note.</w:t>
        <w:br w:type="textWrapping"/>
        <w:br w:type="textWrapping"/>
        <w:br w:type="textWrapping"/>
        <w:br w:type="textWrapping"/>
        <w:t xml:space="preserve">13. Acceleration. Upon any Event of Default (in addition to any other rights or remedies provided for under this Note), at the option of the Holder 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 holder hereof, all sums evidenced hereby, including all principal, accrued but unpaid Interest, fees and all other amounts due hereunder, shall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become immediately due and payable. If an Event of Default relating to certain events of bankruptcy or insolvency of the Maker occurs and is continuing,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principal of and interest, if any, on this Note will become and be immediately due and payable without any declaration or other act on the part of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Holder or any holder hereof. This Note shall bear interest at the rate of ten (10%) percent per annum upon the occurrence of an Event of Default (Default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Interest). Payments of the Default Interest shall be due every thirty (30) days following the occurrence Event of Default.</w:t>
        <w:br w:type="textWrapping"/>
        <w:br w:type="textWrapping"/>
        <w:br w:type="textWrapping"/>
        <w:br w:type="textWrapping"/>
        <w:t xml:space="preserve">14. No Waiver. Failure of the Holder or any holder hereof to exercise any option hereunder shall not constitute a waiver of the right to exercise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same in the event of any subsequent Event of Default, or in the event of continuance of any existing Event of Default after demand or performance thereof.</w:t>
        <w:br w:type="textWrapping"/>
        <w:br w:type="textWrapping"/>
        <w:br w:type="textWrapping"/>
        <w:br w:type="textWrapping"/>
        <w:t xml:space="preserve">15. Pursuit of any Remedy. The Holder or holder hereof may pursue any remedy under this Note without notice or presentment. The Holder or any holder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hereof has the right to direct the time, method and place of conducting any proceeding for exercising any remedy available to the Holder or any such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holder hereof under this Note.</w:t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ARTICLE IV</w:t>
        <w:br w:type="textWrapping"/>
        <w:br w:type="textWrapping"/>
        <w:br w:type="textWrapping"/>
        <w:t xml:space="preserve">MISCELLANEOUS</w:t>
        <w:br w:type="textWrapping"/>
        <w:br w:type="textWrapping"/>
        <w:t xml:space="preserve">16. Amendments. No amendment or waiver of any provision of this Note, nor consent to any departure by the Maker herefrom, shall in any event be effective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unless the same shall be in writing and signed by the Holder, and then such waiver or consent shall be effective only in the specific instance and for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specific purpose for which given.</w:t>
        <w:br w:type="textWrapping"/>
        <w:br w:type="textWrapping"/>
        <w:br w:type="textWrapping"/>
        <w:br w:type="textWrapping"/>
        <w:t xml:space="preserve">17. Notices. All notices and other communications provided for hereunder shall be in writing (including telecopier communication) and mailed, telecopied,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delivered, to the Maker or the Holder, as applicable, at their respective addresses specified on the signature pages hereof, or, as to each party, at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such other address as shall be designated by such party in a written notice to the other party. All such notices and communications shall, when mailed 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telecopied, be effective when deposited in the mails or telecopied with receipt confirmed, respectively.</w:t>
        <w:br w:type="textWrapping"/>
        <w:br w:type="textWrapping"/>
        <w:br w:type="textWrapping"/>
        <w:br w:type="textWrapping"/>
        <w:t xml:space="preserve">18. No Waiver; Remedies. No failure on the part of the Holder to exercise, and no delay in exercising, any right hereunder shall operate as a waiver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thereof, nor shall any single or partial exercise of any right hereunder preclude any other or further exercise thereof or the exercise of any other right.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rights, powers and remedies of the Holder in connection with this Note are cumulative and not exclusive, and shall be in addition to any other rights,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powers or remedies provided by law or equity.</w:t>
        <w:br w:type="textWrapping"/>
        <w:br w:type="textWrapping"/>
        <w:br w:type="textWrapping"/>
        <w:br w:type="textWrapping"/>
        <w:t xml:space="preserve">19. Severability; Headings. If any one or more provisions of this Note shall be held to be illegal, invalid or otherwise unenforceable, the same shall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affect any other provisions of this Note and the remaining provisions of this Note shall remain in full force and effect. Article and paragraph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headings in this Note are included herein for convenience of reference only and shall not constitute a part of this Note for any other purpose or be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any substantive effect.</w:t>
        <w:br w:type="textWrapping"/>
        <w:br w:type="textWrapping"/>
        <w:br w:type="textWrapping"/>
        <w:br w:type="textWrapping"/>
        <w:t xml:space="preserve">20. Binding Effect; Transfer. This Note shall be binding upon and inure to the benefit of the Maker and the Holder and their respective successors and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assigns. The Holder may not assign or otherwise transfer, or grant participations in, this Note or all or any portion of its rights hereunder or its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interest herein to any person or entity, without the prior written consent of the Maker which consent shall not be unreasonably withheld. The Maker may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assign or otherwise transfer its rights or obligations hereunder or any interest herein without the prior written consent of the Holder. Any attempted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 by the Maker or the Holder in contravention of this paragraph shall be null and void and of no force or effect.</w:t>
        <w:br w:type="textWrapping"/>
        <w:br w:type="textWrapping"/>
        <w:br w:type="textWrapping"/>
        <w:br w:type="textWrapping"/>
        <w:t xml:space="preserve">21. Enforcement. It is agreed that time is of the essence of this Note and in the event of default of the terms of this Note, the Maker agrees to pay all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costs of collection or enforcement, including reasonable attorneys fees and if there is a default in payment of any sum due hereunder.</w:t>
        <w:br w:type="textWrapping"/>
        <w:br w:type="textWrapping"/>
        <w:br w:type="textWrapping"/>
        <w:br w:type="textWrapping"/>
        <w:t xml:space="preserve">22. Governing Law. This Note shall be governed by, and shall be construed and enforced in accordance with, the internal laws of the State of Michigan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without regard to conflicts of laws principles. The venue of any legal proceeding taken in connection with this Note will be in Pontiac, Michigan.</w:t>
        <w:br w:type="textWrapping"/>
        <w:br w:type="textWrapping"/>
        <w:br w:type="textWrapping"/>
        <w:br w:type="textWrapping"/>
        <w:t xml:space="preserve">23. Independence of Covenants. All covenants hereunder shall be given independent effect so that if a particular action or condition is not permitted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any of such covenants, the fact that it would be permitted by an exception to, or be otherwise within the limitations of, another covenant shall not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avoid the occurrence of an Event of Default or event which with notice or lapse of time or both would become an Event of Default if such action is taken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condition exists.</w:t>
        <w:br w:type="textWrapping"/>
        <w:br w:type="textWrapping"/>
        <w:br w:type="textWrapping"/>
        <w:br w:type="textWrapping"/>
        <w:t xml:space="preserve">24. Interpretation. The Holder and the Maker hereby waive the benefit of any statute or rule of law or judicial decision which would otherwise require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the provisions of this Note be construed or interpreted more strongly against the party responsible for the drafting thereof.</w:t>
        <w:br w:type="textWrapping"/>
        <w:br w:type="textWrapping"/>
        <w:br w:type="textWrapping"/>
        <w:br w:type="textWrapping"/>
        <w:br w:type="textWrapping"/>
        <w:t xml:space="preserve">IN WITNESS WHEREOF, this Note has been issued as of date first written above.</w:t>
        <w:br w:type="textWrapping"/>
        <w:br w:type="textWrapping"/>
        <w:br w:type="textWrapping"/>
        <w:br w:type="textWrapping"/>
        <w:t xml:space="preserve">MAKER:</w:t>
        <w:br w:type="textWrapping"/>
        <w:br w:type="textWrapping"/>
        <w:br w:type="textWrapping"/>
        <w:br w:type="textWrapping"/>
        <w:t xml:space="preserve">Ecology Coatings, Inc.</w:t>
        <w:br w:type="textWrapping"/>
        <w:br w:type="textWrapping"/>
        <w:br w:type="textWrapping"/>
        <w:br w:type="textWrapping"/>
        <w:t xml:space="preserve">/s/ Robert G. Crockett</w:t>
        <w:br w:type="textWrapping"/>
        <w:br w:type="textWrapping"/>
        <w:br w:type="textWrapping"/>
        <w:t xml:space="preserve">Robert G. Crockett</w:t>
        <w:br w:type="textWrapping"/>
        <w:br w:type="textWrapping"/>
        <w:br w:type="textWrapping"/>
        <w:t xml:space="preserve">Chief Executive Officer</w:t>
        <w:br w:type="textWrapping"/>
        <w:br w:type="textWrapping"/>
        <w:br w:type="textWrapping"/>
        <w:br w:type="textWrapping"/>
        <w:br w:type="textWrapping"/>
        <w:br w:type="textWrapping"/>
        <w:t xml:space="preserve">Mailing Address of Holder:</w:t>
        <w:br w:type="textWrapping"/>
        <w:br w:type="textWrapping"/>
        <w:br w:type="textWrapping"/>
        <w:t xml:space="preserve">JB Smith LC</w:t>
        <w:br w:type="textWrapping"/>
        <w:br w:type="textWrapping"/>
        <w:t xml:space="preserve">2701 Cambridge Court</w:t>
        <w:br w:type="textWrapping"/>
        <w:br w:type="textWrapping"/>
        <w:t xml:space="preserve">Suite 425, Auburn Hills, MI 48326</w:t>
        <w:br w:type="textWrapping"/>
        <w:br w:type="textWrapping"/>
        <w:br w:type="textWrapping"/>
        <w:br w:type="textWrapping"/>
        <w:br w:type="textWrapping"/>
        <w:br w:type="textWrapping"/>
        <w:t xml:space="preserve">Mailing Address of Maker:</w:t>
        <w:br w:type="textWrapping"/>
        <w:br w:type="textWrapping"/>
        <w:br w:type="textWrapping"/>
        <w:t xml:space="preserve">Ecology Coatings, Inc.</w:t>
        <w:br w:type="textWrapping"/>
        <w:br w:type="textWrapping"/>
        <w:br w:type="textWrapping"/>
        <w:t xml:space="preserve">2701 Cambridge Court</w:t>
        <w:br w:type="textWrapping"/>
        <w:br w:type="textWrapping"/>
        <w:br w:type="textWrapping"/>
        <w:t xml:space="preserve">Suite 100</w:t>
        <w:br w:type="textWrapping"/>
        <w:br w:type="textWrapping"/>
        <w:br w:type="textWrapping"/>
        <w:t xml:space="preserve">Auburn Hills, MI 48326</w:t>
        <w:br w:type="textWrapping"/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