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This Purchase Agreement (the </w:t>
      </w:r>
      <w:r w:rsidDel="00000000" w:rsidR="00000000" w:rsidRPr="00000000">
        <w:rPr>
          <w:b w:val="1"/>
          <w:i w:val="1"/>
          <w:rtl w:val="0"/>
        </w:rPr>
        <w:t xml:space="preserve">"Agreement"</w:t>
      </w:r>
      <w:r w:rsidDel="00000000" w:rsidR="00000000" w:rsidRPr="00000000">
        <w:rPr>
          <w:rtl w:val="0"/>
        </w:rPr>
        <w:t xml:space="preserve">) is made as of the 6th day of January 2010 (the </w:t>
      </w:r>
      <w:r w:rsidDel="00000000" w:rsidR="00000000" w:rsidRPr="00000000">
        <w:rPr>
          <w:b w:val="1"/>
          <w:i w:val="1"/>
          <w:rtl w:val="0"/>
        </w:rPr>
        <w:t xml:space="preserve">"Effective Date"</w:t>
      </w:r>
      <w:r w:rsidDel="00000000" w:rsidR="00000000" w:rsidRPr="00000000">
        <w:rPr>
          <w:rtl w:val="0"/>
        </w:rPr>
        <w:t xml:space="preserve">) between DayStar Technologies, Inc., a Delaware corporation (the </w:t>
      </w:r>
      <w:r w:rsidDel="00000000" w:rsidR="00000000" w:rsidRPr="00000000">
        <w:rPr>
          <w:b w:val="1"/>
          <w:i w:val="1"/>
          <w:rtl w:val="0"/>
        </w:rPr>
        <w:t xml:space="preserve">"Company"</w:t>
      </w:r>
      <w:r w:rsidDel="00000000" w:rsidR="00000000" w:rsidRPr="00000000">
        <w:rPr>
          <w:rtl w:val="0"/>
        </w:rPr>
        <w:t xml:space="preserve">), and Michael Moretti (the </w:t>
      </w:r>
      <w:r w:rsidDel="00000000" w:rsidR="00000000" w:rsidRPr="00000000">
        <w:rPr>
          <w:b w:val="1"/>
          <w:i w:val="1"/>
          <w:rtl w:val="0"/>
        </w:rPr>
        <w:t xml:space="preserve">"Purchaser"</w:t>
      </w:r>
      <w:r w:rsidDel="00000000" w:rsidR="00000000" w:rsidRPr="00000000">
        <w:rPr>
          <w:rtl w:val="0"/>
        </w:rPr>
        <w:t xml:space="preserve">). The Company and the Purchaser are sometimes referred to individually as a "</w:t>
      </w:r>
      <w:r w:rsidDel="00000000" w:rsidR="00000000" w:rsidRPr="00000000">
        <w:rPr>
          <w:b w:val="1"/>
          <w:i w:val="1"/>
          <w:rtl w:val="0"/>
        </w:rPr>
        <w:t xml:space="preserve">Party</w:t>
      </w:r>
      <w:r w:rsidDel="00000000" w:rsidR="00000000" w:rsidRPr="00000000">
        <w:rPr>
          <w:rtl w:val="0"/>
        </w:rPr>
        <w:t xml:space="preserve">" and collectively as the "</w:t>
      </w:r>
      <w:r w:rsidDel="00000000" w:rsidR="00000000" w:rsidRPr="00000000">
        <w:rPr>
          <w:b w:val="1"/>
          <w:i w:val="1"/>
          <w:rtl w:val="0"/>
        </w:rPr>
        <w:t xml:space="preserve">Parties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Recitals</w:t>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Company desires to issue and the Purchaser desires to purchase (A) a secured convertible promissory note (the "</w:t>
      </w:r>
      <w:r w:rsidDel="00000000" w:rsidR="00000000" w:rsidRPr="00000000">
        <w:rPr>
          <w:b w:val="1"/>
          <w:i w:val="1"/>
          <w:rtl w:val="0"/>
        </w:rPr>
        <w:t xml:space="preserve">Note</w:t>
      </w:r>
      <w:r w:rsidDel="00000000" w:rsidR="00000000" w:rsidRPr="00000000">
        <w:rPr>
          <w:rtl w:val="0"/>
        </w:rPr>
        <w:t xml:space="preserve">") in substantially the form attached hereto as </w:t>
      </w:r>
      <w:r w:rsidDel="00000000" w:rsidR="00000000" w:rsidRPr="00000000">
        <w:rPr>
          <w:u w:val="single"/>
          <w:rtl w:val="0"/>
        </w:rPr>
        <w:t xml:space="preserve">Exhibit A</w:t>
      </w:r>
      <w:r w:rsidDel="00000000" w:rsidR="00000000" w:rsidRPr="00000000">
        <w:rPr>
          <w:rtl w:val="0"/>
        </w:rPr>
        <w:t xml:space="preserve">, and (B) a warrant in substantially the form attached hereto as </w:t>
      </w:r>
      <w:r w:rsidDel="00000000" w:rsidR="00000000" w:rsidRPr="00000000">
        <w:rPr>
          <w:u w:val="single"/>
          <w:rtl w:val="0"/>
        </w:rPr>
        <w:t xml:space="preserve">Exhibit B</w:t>
      </w:r>
      <w:r w:rsidDel="00000000" w:rsidR="00000000" w:rsidRPr="00000000">
        <w:rPr>
          <w:rtl w:val="0"/>
        </w:rPr>
        <w:t xml:space="preserve"> (the "</w:t>
      </w:r>
      <w:r w:rsidDel="00000000" w:rsidR="00000000" w:rsidRPr="00000000">
        <w:rPr>
          <w:b w:val="1"/>
          <w:i w:val="1"/>
          <w:rtl w:val="0"/>
        </w:rPr>
        <w:t xml:space="preserve">Warrant</w:t>
      </w:r>
      <w:r w:rsidDel="00000000" w:rsidR="00000000" w:rsidRPr="00000000">
        <w:rPr>
          <w:rtl w:val="0"/>
        </w:rPr>
        <w:t xml:space="preserve">"),. The Note, the Warrant and any securities issuable upon conversion of the Note of the exercise of the Warrant are collectively referred to herein as the "</w:t>
      </w:r>
      <w:r w:rsidDel="00000000" w:rsidR="00000000" w:rsidRPr="00000000">
        <w:rPr>
          <w:b w:val="1"/>
          <w:i w:val="1"/>
          <w:rtl w:val="0"/>
        </w:rPr>
        <w:t xml:space="preserve">Securities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Now, therefore, in consideration of the above Recitals and for other good and valuable consideration, the receipt and adequacy of which are hereby acknowledged, the Parties agree as follows: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rPr>
          <w:b w:val="1"/>
          <w:rtl w:val="0"/>
        </w:rPr>
        <w:t xml:space="preserve">Purchase and Sale of Note and Warrant.</w:t>
      </w:r>
    </w:p>
    <w:bookmarkStart w:colFirst="0" w:colLast="0" w:name="30j0zll" w:id="1"/>
    <w:bookmarkEnd w:id="1"/>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Sale and Issuance of Note and Warrant. Subject to the terms and conditions of this Agreement, the Purchaser agrees to purchase at the Closing (as defined below), and the Company agrees to sell and issue to the Purchaser at the Closing:</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400" w:firstLine="0"/>
      </w:pPr>
      <w:r w:rsidDel="00000000" w:rsidR="00000000" w:rsidRPr="00000000">
        <w:rPr>
          <w:rtl w:val="0"/>
        </w:rPr>
        <w:t xml:space="preserve">the Note in substantially the form attached hereto as </w:t>
      </w:r>
      <w:r w:rsidDel="00000000" w:rsidR="00000000" w:rsidRPr="00000000">
        <w:rPr>
          <w:u w:val="single"/>
          <w:rtl w:val="0"/>
        </w:rPr>
        <w:t xml:space="preserve">Exhibit A</w:t>
      </w:r>
      <w:r w:rsidDel="00000000" w:rsidR="00000000" w:rsidRPr="00000000">
        <w:rPr>
          <w:rtl w:val="0"/>
        </w:rPr>
        <w:t xml:space="preserve"> in the principal amount of US$250,000, and</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400" w:firstLine="0"/>
      </w:pPr>
      <w:r w:rsidDel="00000000" w:rsidR="00000000" w:rsidRPr="00000000">
        <w:rPr>
          <w:rtl w:val="0"/>
        </w:rPr>
        <w:t xml:space="preserve">the Warrant in substantially the form attached hereto as </w:t>
      </w:r>
      <w:r w:rsidDel="00000000" w:rsidR="00000000" w:rsidRPr="00000000">
        <w:rPr>
          <w:u w:val="single"/>
          <w:rtl w:val="0"/>
        </w:rPr>
        <w:t xml:space="preserve">Exhibit B</w:t>
      </w:r>
      <w:r w:rsidDel="00000000" w:rsidR="00000000" w:rsidRPr="00000000">
        <w:rPr>
          <w:rtl w:val="0"/>
        </w:rPr>
        <w:t xml:space="preserve">.</w:t>
      </w:r>
    </w:p>
    <w:bookmarkStart w:colFirst="0" w:colLast="0" w:name="1fob9te" w:id="2"/>
    <w:bookmarkEnd w:id="2"/>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200" w:firstLine="0"/>
      </w:pPr>
      <w:r w:rsidDel="00000000" w:rsidR="00000000" w:rsidRPr="00000000">
        <w:rPr>
          <w:b w:val="1"/>
          <w:rtl w:val="0"/>
        </w:rPr>
        <w:t xml:space="preserve">Closing</w:t>
      </w:r>
      <w:bookmarkStart w:colFirst="0" w:colLast="0" w:name="3znysh7" w:id="3"/>
      <w:bookmarkEnd w:id="3"/>
      <w:r w:rsidDel="00000000" w:rsidR="00000000" w:rsidRPr="00000000">
        <w:rPr>
          <w:b w:val="1"/>
          <w:rtl w:val="0"/>
        </w:rPr>
        <w:t xml:space="preserve">; Delivery.</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1800" w:firstLine="0"/>
      </w:pPr>
      <w:r w:rsidDel="00000000" w:rsidR="00000000" w:rsidRPr="00000000">
        <w:rPr>
          <w:rtl w:val="0"/>
        </w:rPr>
        <w:t xml:space="preserve">Closing Date. The closing of the purchase and sale of the Note and the Warrant (the </w:t>
      </w:r>
      <w:r w:rsidDel="00000000" w:rsidR="00000000" w:rsidRPr="00000000">
        <w:rPr>
          <w:b w:val="1"/>
          <w:i w:val="1"/>
          <w:rtl w:val="0"/>
        </w:rPr>
        <w:t xml:space="preserve">"Closing"</w:t>
      </w:r>
      <w:r w:rsidDel="00000000" w:rsidR="00000000" w:rsidRPr="00000000">
        <w:rPr>
          <w:rtl w:val="0"/>
        </w:rPr>
        <w:t xml:space="preserve">) shall be held on January 6, 2010 or as soon thereafter as practicable (the </w:t>
      </w:r>
      <w:r w:rsidDel="00000000" w:rsidR="00000000" w:rsidRPr="00000000">
        <w:rPr>
          <w:b w:val="1"/>
          <w:i w:val="1"/>
          <w:rtl w:val="0"/>
        </w:rPr>
        <w:t xml:space="preserve">"Closing Date"</w:t>
      </w:r>
      <w:r w:rsidDel="00000000" w:rsidR="00000000" w:rsidRPr="00000000">
        <w:rPr>
          <w:rtl w:val="0"/>
        </w:rPr>
        <w:t xml:space="preserve">) at a place and time to be determined by the Company and Purchaser.</w:t>
      </w:r>
      <w:bookmarkStart w:colFirst="0" w:colLast="0" w:name="2et92p0" w:id="4"/>
      <w:bookmarkEnd w:id="4"/>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1800" w:firstLine="0"/>
      </w:pPr>
      <w:r w:rsidDel="00000000" w:rsidR="00000000" w:rsidRPr="00000000">
        <w:rPr>
          <w:rtl w:val="0"/>
        </w:rPr>
        <w:t xml:space="preserve">Deliveries at Closing. At the Closing (i) the Purchaser will deliver to the Company payment of the Purchase Price with respect to the Note and the Warrant by wire transfer from the Purchaser to a bank designated by the Company and executed counterpart signature pages to the Security Agreement (as defined below) and the Registration Rights Agreement (as defined below); and (ii) the Company shall issue and deliver to the Purchaser the executed Note in favor of the Purchaser, the executed Warrant in favor of the Purchaser and executed counterpart signature pages to the Security Agreement (as defined below) and the Registration Rights Agreement (as defined below).</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1800" w:firstLine="0"/>
      </w:pPr>
      <w:r w:rsidDel="00000000" w:rsidR="00000000" w:rsidRPr="00000000">
        <w:rPr>
          <w:rtl w:val="0"/>
        </w:rPr>
        <w:t xml:space="preserve">Purchase Price. The "Purchase Price" of the Note and the Warrant shall equal the principal amount of the Note.</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Use of Proceeds. The Company must use the proceeds related to the sale of the Note and the Warrant for (i) operating capital and (ii) general corporate purposes.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Security Interest. The indebtedness represented by the Note shall be secured by certain assets of the Company as further provided in the Security Agreement attached hereto as </w:t>
      </w:r>
      <w:r w:rsidDel="00000000" w:rsidR="00000000" w:rsidRPr="00000000">
        <w:rPr>
          <w:u w:val="single"/>
          <w:rtl w:val="0"/>
        </w:rPr>
        <w:t xml:space="preserve">Exhibit C</w:t>
      </w:r>
      <w:r w:rsidDel="00000000" w:rsidR="00000000" w:rsidRPr="00000000">
        <w:rPr>
          <w:rtl w:val="0"/>
        </w:rPr>
        <w:t xml:space="preserve"> (the </w:t>
      </w:r>
      <w:r w:rsidDel="00000000" w:rsidR="00000000" w:rsidRPr="00000000">
        <w:rPr>
          <w:b w:val="1"/>
          <w:i w:val="1"/>
          <w:rtl w:val="0"/>
        </w:rPr>
        <w:t xml:space="preserve">"Security Agreement"</w:t>
      </w:r>
      <w:r w:rsidDel="00000000" w:rsidR="00000000" w:rsidRPr="00000000">
        <w:rPr>
          <w:rtl w:val="0"/>
        </w:rPr>
        <w:t xml:space="preserv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Registration Rights. The shares of Company common stock into which the Note may be converted and the Warrant may be exercised shall be subject to registration rights as further provided in the Registration Rights Agreement attached hereto as </w:t>
      </w:r>
      <w:r w:rsidDel="00000000" w:rsidR="00000000" w:rsidRPr="00000000">
        <w:rPr>
          <w:u w:val="single"/>
          <w:rtl w:val="0"/>
        </w:rPr>
        <w:t xml:space="preserve">Exhibit D</w:t>
      </w:r>
      <w:r w:rsidDel="00000000" w:rsidR="00000000" w:rsidRPr="00000000">
        <w:rPr>
          <w:rtl w:val="0"/>
        </w:rPr>
        <w:t xml:space="preserve"> (the "</w:t>
      </w:r>
      <w:r w:rsidDel="00000000" w:rsidR="00000000" w:rsidRPr="00000000">
        <w:rPr>
          <w:b w:val="1"/>
          <w:i w:val="1"/>
          <w:rtl w:val="0"/>
        </w:rPr>
        <w:t xml:space="preserve">Registration Rights Agreement</w:t>
      </w:r>
      <w:r w:rsidDel="00000000" w:rsidR="00000000" w:rsidRPr="00000000">
        <w:rPr>
          <w:rtl w:val="0"/>
        </w:rPr>
        <w:t xml:space="preserve">").</w:t>
      </w:r>
    </w:p>
    <w:bookmarkStart w:colFirst="0" w:colLast="0" w:name="tyjcwt" w:id="5"/>
    <w:bookmarkEnd w:id="5"/>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rPr>
          <w:b w:val="1"/>
          <w:rtl w:val="0"/>
        </w:rPr>
        <w:t xml:space="preserve">Representations, Warranties and Covenants of the Company</w:t>
      </w:r>
      <w:r w:rsidDel="00000000" w:rsidR="00000000" w:rsidRPr="00000000">
        <w:rPr>
          <w:rtl w:val="0"/>
        </w:rPr>
        <w:t xml:space="preserve">. The Company hereby represents and warrants to the Purchaser as follows:</w:t>
      </w:r>
    </w:p>
    <w:bookmarkStart w:colFirst="0" w:colLast="0" w:name="3dy6vkm" w:id="6"/>
    <w:bookmarkEnd w:id="6"/>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b w:val="1"/>
          <w:rtl w:val="0"/>
        </w:rPr>
        <w:t xml:space="preserve">Corporate</w:t>
      </w:r>
      <w:r w:rsidDel="00000000" w:rsidR="00000000" w:rsidRPr="00000000">
        <w:rPr>
          <w:rtl w:val="0"/>
        </w:rPr>
        <w:t xml:space="preserve"> </w:t>
      </w:r>
      <w:r w:rsidDel="00000000" w:rsidR="00000000" w:rsidRPr="00000000">
        <w:rPr>
          <w:b w:val="1"/>
          <w:rtl w:val="0"/>
        </w:rPr>
        <w:t xml:space="preserve">Power.</w:t>
      </w:r>
      <w:r w:rsidDel="00000000" w:rsidR="00000000" w:rsidRPr="00000000">
        <w:rPr>
          <w:rtl w:val="0"/>
        </w:rPr>
        <w:t xml:space="preserve"> The Company has all requisite corporate power to execute and deliver this Agreement and to carry out and perform its obligations under the terms of this Agreement.</w:t>
      </w:r>
    </w:p>
    <w:bookmarkStart w:colFirst="0" w:colLast="0" w:name="1t3h5sf" w:id="7"/>
    <w:bookmarkEnd w:id="7"/>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b w:val="1"/>
          <w:rtl w:val="0"/>
        </w:rPr>
        <w:t xml:space="preserve">Authorization.</w:t>
      </w:r>
      <w:r w:rsidDel="00000000" w:rsidR="00000000" w:rsidRPr="00000000">
        <w:rPr>
          <w:rtl w:val="0"/>
        </w:rPr>
        <w:t xml:space="preserve"> With the exception of any shareholder approval that may be required pursuant to the terms of the Note and/or the Warrant, all corporate action on the part of the Company, its directors and its shareholders necessary for the authorization, execution, delivery and performance of this Agreement by the Company and the performance of the Company's obligations hereunder, including the issuance and delivery of the Note and Warrant, has been taken prior to the Closing. This Agreement, the Note when executed and delivered by the Company, and the Warrant when executed and delivered by the Company, shall constitute valid and binding obligations of the Company enforceable in accordance with their terms, subject to laws of general application relating to bankruptcy, insolvency, the relief of debtors and, with respect to rights to indemnity, subject to federal and state securities laws.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Issuance of the Securities. The Securities are duly authorized and, when issued and paid for in accordance with this Agreement, the Security Agreement, the Note and the Warrant, will be duly and validly issued, fully paid and nonassessable (as applicable), and free and clear of all liens. The Company has reserved from its duly authorized capital stock the maximum number of shares of common stock (i) issuable upon the conversion of the Note and (ii) that may be issued upon the exercise of the Warrant.</w:t>
      </w:r>
      <w:bookmarkStart w:colFirst="0" w:colLast="0" w:name="4d34og8" w:id="8"/>
      <w:bookmarkEnd w:id="8"/>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Governmental Consents. All consents, approvals, orders, or authorizations of, or registrations, qualifications, designations, declarations, or filings with, any governmental authority, required on the part of the Company in connection with the valid execution and delivery of this Agreement, the offer, sale or issuance of the Note and the Warrant or the consummation of any other transaction contemplated thereby or hereby shall have been obtained and will be effective at the Closing or, except for notices required or permitted to be filed with certain state and federal securities commissions, which notices will be filed on a timely basis.</w:t>
      </w:r>
    </w:p>
    <w:bookmarkStart w:colFirst="0" w:colLast="0" w:name="2s8eyo1" w:id="9"/>
    <w:bookmarkEnd w:id="9"/>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b w:val="1"/>
          <w:rtl w:val="0"/>
        </w:rPr>
        <w:t xml:space="preserve">No Conflicts</w:t>
      </w:r>
      <w:r w:rsidDel="00000000" w:rsidR="00000000" w:rsidRPr="00000000">
        <w:rPr>
          <w:rtl w:val="0"/>
        </w:rPr>
        <w:t xml:space="preserve">. The execution, delivery and performance of this Agreement by the Company and the performance of the Company's obligations hereunder, including the issuance and delivery of the Note and the Warrant, will not (a) breach any law to which the Company or any of its subsidiaries or any of their assets is subject or any provision of its organizational documents, (b) breach any contract, order or permit to which the Company or any of its subsidiaries is a party or by which it is bound or to which any of its assets is subject, or (c) trigger any rights of first refusal, preferential purchase, or similar rights.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Offering. Assuming the accuracy of the representations and warranties of the Purchaser contained in Section 5 hereof, the offer, issue, and sale of the Note and the Warrant is and will be exempt from the registration and prospectus delivery requirements of the Securities Act of 1933, as amended (the </w:t>
      </w:r>
      <w:r w:rsidDel="00000000" w:rsidR="00000000" w:rsidRPr="00000000">
        <w:rPr>
          <w:b w:val="1"/>
          <w:i w:val="1"/>
          <w:rtl w:val="0"/>
        </w:rPr>
        <w:t xml:space="preserve">"1933 Act"</w:t>
      </w:r>
      <w:r w:rsidDel="00000000" w:rsidR="00000000" w:rsidRPr="00000000">
        <w:rPr>
          <w:rtl w:val="0"/>
        </w:rPr>
        <w:t xml:space="preserve">), and have been registered or qualified (or are exempt from registration and qualification) under the registration, permit, or qualification requirements of all applicable state securities laws.</w:t>
      </w:r>
    </w:p>
    <w:bookmarkStart w:colFirst="0" w:colLast="0" w:name="17dp8vu" w:id="10"/>
    <w:bookmarkEnd w:id="10"/>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rPr>
          <w:b w:val="1"/>
          <w:rtl w:val="0"/>
        </w:rPr>
        <w:t xml:space="preserve">Representations, Warranties and Covenants of the Purchaser</w:t>
      </w:r>
      <w:r w:rsidDel="00000000" w:rsidR="00000000" w:rsidRPr="00000000">
        <w:rPr>
          <w:rtl w:val="0"/>
        </w:rPr>
        <w:t xml:space="preserve">. The Purchaser represents, warrants and covenants to the Company as follows:</w:t>
      </w:r>
    </w:p>
    <w:bookmarkStart w:colFirst="0" w:colLast="0" w:name="3rdcrjn" w:id="11"/>
    <w:bookmarkEnd w:id="11"/>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200" w:firstLine="0"/>
      </w:pPr>
      <w:r w:rsidDel="00000000" w:rsidR="00000000" w:rsidRPr="00000000">
        <w:rPr>
          <w:b w:val="1"/>
          <w:rtl w:val="0"/>
        </w:rPr>
        <w:t xml:space="preserve">Accredited Investor; Purchase for Own Account.</w:t>
      </w:r>
      <w:r w:rsidDel="00000000" w:rsidR="00000000" w:rsidRPr="00000000">
        <w:rPr>
          <w:rtl w:val="0"/>
        </w:rPr>
        <w:t xml:space="preserve"> The Purchaser represents and warrants that it is an "accredited investor" as defined in Rule 501(a) of Regulation D promulgated under the 1933 Act. The Purchaser represents that it is acquiring the Note and the Warrant solely for its own account and beneficial interest for investment and not with a view to or for sale in connection with any distribution of the Securities, has no present intention of selling, granting any participation in the same, and does not presently have reason to anticipate a change in such intention.</w:t>
      </w:r>
    </w:p>
    <w:bookmarkStart w:colFirst="0" w:colLast="0" w:name="26in1rg" w:id="12"/>
    <w:bookmarkEnd w:id="12"/>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200" w:firstLine="0"/>
      </w:pPr>
      <w:r w:rsidDel="00000000" w:rsidR="00000000" w:rsidRPr="00000000">
        <w:rPr>
          <w:b w:val="1"/>
          <w:rtl w:val="0"/>
        </w:rPr>
        <w:t xml:space="preserve">Information and Sophistication.</w:t>
      </w:r>
      <w:r w:rsidDel="00000000" w:rsidR="00000000" w:rsidRPr="00000000">
        <w:rPr>
          <w:rtl w:val="0"/>
        </w:rPr>
        <w:t xml:space="preserve"> The Purchaser acknowledges that it has received all the information it has requested from the Company and it considers necessary or appropriate for deciding whether to acquire the Note and the Warrant. The Purchaser represents that it has had an opportunity </w:t>
      </w:r>
      <w:bookmarkStart w:colFirst="0" w:colLast="0" w:name="lnxbz9" w:id="13"/>
      <w:bookmarkEnd w:id="13"/>
      <w:r w:rsidDel="00000000" w:rsidR="00000000" w:rsidRPr="00000000">
        <w:rPr>
          <w:rtl w:val="0"/>
        </w:rPr>
        <w:t xml:space="preserve">to ask questions and receive answers from the Company regarding the terms and conditions of the offering of the Note and the Warrant and to obtain any additional information necessary to verify the accuracy of the information given the Purchaser. The Purchaser further represents that it has such knowledge and experience in financial and business matters that it is capable of evaluating the merits and risk of this investment.</w:t>
      </w:r>
    </w:p>
    <w:bookmarkStart w:colFirst="0" w:colLast="0" w:name="35nkun2" w:id="14"/>
    <w:bookmarkEnd w:id="14"/>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200" w:firstLine="0"/>
      </w:pPr>
      <w:r w:rsidDel="00000000" w:rsidR="00000000" w:rsidRPr="00000000">
        <w:rPr>
          <w:b w:val="1"/>
          <w:rtl w:val="0"/>
        </w:rPr>
        <w:t xml:space="preserve">Ability to Bear Economic Risk and Knowledge of Certain Risk Factors.</w:t>
      </w:r>
      <w:r w:rsidDel="00000000" w:rsidR="00000000" w:rsidRPr="00000000">
        <w:rPr>
          <w:rtl w:val="0"/>
        </w:rPr>
        <w:t xml:space="preserve"> The Purchaser acknowledges that investment in the Note and the Warrant involves a high degree of risk, and represents that it is able, without materially impairing its financial condition, to hold the Note and the Warrant for an indefinite period of time and to suffer a complete loss of its investment.</w:t>
      </w:r>
      <w:bookmarkStart w:colFirst="0" w:colLast="0" w:name="1ksv4uv" w:id="15"/>
      <w:bookmarkEnd w:id="15"/>
      <w:r w:rsidDel="00000000" w:rsidR="00000000" w:rsidRPr="00000000">
        <w:rPr>
          <w:rtl w:val="0"/>
        </w:rPr>
        <w:t xml:space="preserve"> The Purchaser has evaluated the risks involved in investing in the Note and the Warrant, and has determined that the Note and the Warrant are suitable investments for the Purchaser.</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Further Limitations on Disposition. Without in any way limiting the representations set forth above, the Purchaser further agrees not to make any disposition of all or any portion of the Securities unless and until there is then in effect a registration statement under the 1933 Act covering such proposed disposition and such disposition is made in accordance with such registration statement or such disposition does not require registration under the 1933 Act or any applicable state securities laws. In the event that Purchaser seeks to make a disposition of all or any portion of the Securities in the absence of registration under the 1933 Act and any applicable state securities laws, Purchaser shall furnish an opinion of counsel reasonably satisfactory in form and in substance to the Company that such disposition is exempt from registration under the 1933 Act and any applicable state securities laws.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5.5 </w:t>
      </w:r>
      <w:r w:rsidDel="00000000" w:rsidR="00000000" w:rsidRPr="00000000">
        <w:rPr>
          <w:b w:val="1"/>
          <w:rtl w:val="0"/>
        </w:rPr>
        <w:t xml:space="preserve">Intercreditor Agreement. </w:t>
      </w:r>
      <w:r w:rsidDel="00000000" w:rsidR="00000000" w:rsidRPr="00000000">
        <w:rPr>
          <w:rtl w:val="0"/>
        </w:rPr>
        <w:t xml:space="preserve">The Purchaser acknowledges that the Company may have entered into one or more additional secured financing transactions (each, a "Bridge Financing") and may enter into additional bridge financing transactions within 120 days following the execution of this Agreement. In light of the foregoing, the Purchaser covenants and agrees, upon request by the Company, to enter into a written intercreditor agreement (a form of which is in </w:t>
      </w:r>
      <w:r w:rsidDel="00000000" w:rsidR="00000000" w:rsidRPr="00000000">
        <w:rPr>
          <w:u w:val="single"/>
          <w:rtl w:val="0"/>
        </w:rPr>
        <w:t xml:space="preserve">Exhibit E</w:t>
      </w:r>
      <w:r w:rsidDel="00000000" w:rsidR="00000000" w:rsidRPr="00000000">
        <w:rPr>
          <w:rtl w:val="0"/>
        </w:rPr>
        <w:t xml:space="preserve">) with other lenders participating in bridge financing transactions pursuant to which the Purchaser's security interest, as evidenced by the Security Agreement, will rank </w:t>
      </w:r>
      <w:r w:rsidDel="00000000" w:rsidR="00000000" w:rsidRPr="00000000">
        <w:rPr>
          <w:i w:val="1"/>
          <w:rtl w:val="0"/>
        </w:rPr>
        <w:t xml:space="preserve">pari passu</w:t>
      </w:r>
      <w:r w:rsidDel="00000000" w:rsidR="00000000" w:rsidRPr="00000000">
        <w:rPr>
          <w:rtl w:val="0"/>
        </w:rPr>
        <w:t xml:space="preserve"> with the security interests of the other lenders participating in the bridge financing transactions, up to $4 million.</w:t>
      </w:r>
    </w:p>
    <w:bookmarkStart w:colFirst="0" w:colLast="0" w:name="44sinio" w:id="16"/>
    <w:bookmarkEnd w:id="16"/>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rPr>
          <w:b w:val="1"/>
          <w:rtl w:val="0"/>
        </w:rPr>
        <w:t xml:space="preserve">Miscellaneous</w:t>
      </w:r>
      <w:r w:rsidDel="00000000" w:rsidR="00000000" w:rsidRPr="00000000">
        <w:rPr>
          <w:rtl w:val="0"/>
        </w:rPr>
        <w:t xml:space="preserve">.</w:t>
      </w:r>
    </w:p>
    <w:bookmarkStart w:colFirst="0" w:colLast="0" w:name="2jxsxqh" w:id="17"/>
    <w:bookmarkEnd w:id="17"/>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200" w:firstLine="0"/>
      </w:pPr>
      <w:r w:rsidDel="00000000" w:rsidR="00000000" w:rsidRPr="00000000">
        <w:rPr>
          <w:b w:val="1"/>
          <w:rtl w:val="0"/>
        </w:rPr>
        <w:t xml:space="preserve">Binding</w:t>
      </w:r>
      <w:r w:rsidDel="00000000" w:rsidR="00000000" w:rsidRPr="00000000">
        <w:rPr>
          <w:rtl w:val="0"/>
        </w:rPr>
        <w:t xml:space="preserve"> </w:t>
      </w:r>
      <w:r w:rsidDel="00000000" w:rsidR="00000000" w:rsidRPr="00000000">
        <w:rPr>
          <w:b w:val="1"/>
          <w:rtl w:val="0"/>
        </w:rPr>
        <w:t xml:space="preserve">Agreement.</w:t>
      </w:r>
      <w:r w:rsidDel="00000000" w:rsidR="00000000" w:rsidRPr="00000000">
        <w:rPr>
          <w:rtl w:val="0"/>
        </w:rPr>
        <w:t xml:space="preserve"> The terms and conditions of this Agreement shall inure to the benefit of and be binding upon the respective successors and assigns of the Parties. Nothing in this Agreement, express or implied, is intended to confer upon any third party any rights, remedies, obligations, or liabilities under or by reason of this Agreement, except as expressly provided in this Agreement.</w:t>
      </w:r>
    </w:p>
    <w:bookmarkStart w:colFirst="0" w:colLast="0" w:name="z337ya" w:id="18"/>
    <w:bookmarkEnd w:id="18"/>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200" w:firstLine="0"/>
      </w:pPr>
      <w:r w:rsidDel="00000000" w:rsidR="00000000" w:rsidRPr="00000000">
        <w:rPr>
          <w:b w:val="1"/>
          <w:rtl w:val="0"/>
        </w:rPr>
        <w:t xml:space="preserve">Governing Law; Waiver of Jury Trial.</w:t>
      </w:r>
      <w:r w:rsidDel="00000000" w:rsidR="00000000" w:rsidRPr="00000000">
        <w:rPr>
          <w:rtl w:val="0"/>
        </w:rPr>
        <w:t xml:space="preserve"> This Agreement shall be governed by and construed under the laws of the State of New York without giving effect to the conflict of laws provisions thereof that would require the application of the law of another jurisdiction. THE PARTIES EACH HEREBY, TO THE FULLEST EXTENT PERMITTED BY APPLICABLE LAW, WAIVE THEIR RESPECTIVE RIGHTS TO JURY TRIAL OF ANY DISPUTE BASED UPON OR ARISING OUT OF THIS AGREEMENT OR ANY OTHER AGREEMENTS RELATING HERETO OR ANY DEALINGS AMONG THEM RELATING TO THE TRANSACTIONS.</w:t>
      </w:r>
    </w:p>
    <w:bookmarkStart w:colFirst="0" w:colLast="0" w:name="3j2qqm3" w:id="19"/>
    <w:bookmarkEnd w:id="19"/>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200" w:firstLine="0"/>
      </w:pPr>
      <w:r w:rsidDel="00000000" w:rsidR="00000000" w:rsidRPr="00000000">
        <w:rPr>
          <w:b w:val="1"/>
          <w:rtl w:val="0"/>
        </w:rPr>
        <w:t xml:space="preserve">Counterparts; Delivery via Facsimile.</w:t>
      </w:r>
      <w:r w:rsidDel="00000000" w:rsidR="00000000" w:rsidRPr="00000000">
        <w:rPr>
          <w:rtl w:val="0"/>
        </w:rPr>
        <w:t xml:space="preserve"> This Agreement may be executed in two or more counterparts, each of which shall be deemed an original, but all of which together shall constitute one and the same instrument. This Agreement shall become binding when one or more counterparts hereof, individually or taken together, shall bear the signatures of all parties reflected hereon as signatories. Executed counterparts of this Agreement may be delivered to the other parties via facsimile; </w:t>
      </w:r>
      <w:r w:rsidDel="00000000" w:rsidR="00000000" w:rsidRPr="00000000">
        <w:rPr>
          <w:u w:val="single"/>
          <w:rtl w:val="0"/>
        </w:rPr>
        <w:t xml:space="preserve">provided</w:t>
      </w:r>
      <w:r w:rsidDel="00000000" w:rsidR="00000000" w:rsidRPr="00000000">
        <w:rPr>
          <w:rtl w:val="0"/>
        </w:rPr>
        <w:t xml:space="preserve">, </w:t>
      </w:r>
      <w:r w:rsidDel="00000000" w:rsidR="00000000" w:rsidRPr="00000000">
        <w:rPr>
          <w:u w:val="single"/>
          <w:rtl w:val="0"/>
        </w:rPr>
        <w:t xml:space="preserve">however</w:t>
      </w:r>
      <w:r w:rsidDel="00000000" w:rsidR="00000000" w:rsidRPr="00000000">
        <w:rPr>
          <w:rtl w:val="0"/>
        </w:rPr>
        <w:t xml:space="preserve">, that originally executed signature pages to this Agreement shall be delivered (i) to the Company by the Purchaser and (ii) to the Purchaser by the Company, within five business days of the date of this Agreement.</w:t>
      </w:r>
    </w:p>
    <w:bookmarkStart w:colFirst="0" w:colLast="0" w:name="1y810tw" w:id="20"/>
    <w:bookmarkEnd w:id="20"/>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200" w:firstLine="0"/>
      </w:pPr>
      <w:r w:rsidDel="00000000" w:rsidR="00000000" w:rsidRPr="00000000">
        <w:rPr>
          <w:b w:val="1"/>
          <w:rtl w:val="0"/>
        </w:rPr>
        <w:t xml:space="preserve">Titles and Subtitles.</w:t>
      </w:r>
      <w:r w:rsidDel="00000000" w:rsidR="00000000" w:rsidRPr="00000000">
        <w:rPr>
          <w:rtl w:val="0"/>
        </w:rPr>
        <w:t xml:space="preserve"> The titles and subtitles used in this Agreement are used for convenience only and are not to be considered in construing or interpreting this Agreement.</w:t>
      </w:r>
    </w:p>
    <w:bookmarkStart w:colFirst="0" w:colLast="0" w:name="4i7ojhp" w:id="21"/>
    <w:bookmarkEnd w:id="21"/>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200" w:firstLine="0"/>
      </w:pPr>
      <w:r w:rsidDel="00000000" w:rsidR="00000000" w:rsidRPr="00000000">
        <w:rPr>
          <w:b w:val="1"/>
          <w:rtl w:val="0"/>
        </w:rPr>
        <w:t xml:space="preserve">Notices.</w:t>
      </w:r>
      <w:r w:rsidDel="00000000" w:rsidR="00000000" w:rsidRPr="00000000">
        <w:rPr>
          <w:rtl w:val="0"/>
        </w:rPr>
        <w:t xml:space="preserve"> Any notice required or permitted under this Agreement, the Note or the Warrant shall be given in writing and shall be deemed effectively given upon personal delivery, upon confirmation of facsimile delivery, one day after deposit with a national overnight courier service, or three days after deposit with the United States Post Office, postage prepaid, addressed to the Company at 2972 Stender Way, Santa Clara, California 95054, or to the Purchaser at its address shown on the signature page hereto, or at such other address as such Party may designate in writing to the other Party.</w:t>
      </w:r>
    </w:p>
    <w:bookmarkStart w:colFirst="0" w:colLast="0" w:name="2xcytpi" w:id="22"/>
    <w:bookmarkEnd w:id="22"/>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200" w:firstLine="0"/>
      </w:pPr>
      <w:r w:rsidDel="00000000" w:rsidR="00000000" w:rsidRPr="00000000">
        <w:rPr>
          <w:b w:val="1"/>
          <w:rtl w:val="0"/>
        </w:rPr>
        <w:t xml:space="preserve">Modification; Waiver.</w:t>
      </w:r>
      <w:r w:rsidDel="00000000" w:rsidR="00000000" w:rsidRPr="00000000">
        <w:rPr>
          <w:rtl w:val="0"/>
        </w:rPr>
        <w:t xml:space="preserve"> No modification or waiver of any provision of this Agreement or consent to departure therefrom shall be effective unless in writing and approved by the Company and the Purchaser of a majority in interest of the outstanding Loan Amount.</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Expenses. Company and Purchaser shall bear the entire cost of its own expenses and legal fees incurred on its behalf with respect to this Agreement, the Note, the Warrant, the Security Agreement and the transactions contemplated hereby and thereby. If any action at law or in equity is necessary to enforce or interpret the terms of this Agreement, the Note, the Security Agreement or any other agreement entered into in conjunction herewith or therewith, the prevailing party shall be entitled to reasonable attorneys' fees, costs and necessary disbursements in addition to any other relief to which such party may be entitled.</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Entire Agreement. This Agreement, the Security Agreement, the Note, the Warrant, the Registration Rights Agreement, and the Exhibits hereto and thereto constitute the full and entire understanding and agreement between the Parties with regard to the subjects hereof and no Party shall be liable or bound to any other in any manner by any representations, warranties, covenants and agreements except as specifically set forth herein and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Witness Whereof, the Parties have executed this </w:t>
      </w:r>
      <w:r w:rsidDel="00000000" w:rsidR="00000000" w:rsidRPr="00000000">
        <w:rPr>
          <w:b w:val="1"/>
          <w:rtl w:val="0"/>
        </w:rPr>
        <w:t xml:space="preserve">Purchase Agreement </w:t>
      </w:r>
      <w:r w:rsidDel="00000000" w:rsidR="00000000" w:rsidRPr="00000000">
        <w:rPr>
          <w:rtl w:val="0"/>
        </w:rPr>
        <w:t xml:space="preserve">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DayStar Technologies,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Delaware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By: </w:t>
      </w:r>
      <w:r w:rsidDel="00000000" w:rsidR="00000000" w:rsidRPr="00000000">
        <w:rPr>
          <w:u w:val="single"/>
          <w:rtl w:val="0"/>
        </w:rPr>
        <w:t xml:space="preserve">/s/ William S. Steckel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Name: </w:t>
      </w:r>
      <w:r w:rsidDel="00000000" w:rsidR="00000000" w:rsidRPr="00000000">
        <w:rPr>
          <w:u w:val="single"/>
          <w:rtl w:val="0"/>
        </w:rPr>
        <w:t xml:space="preserve">William S. Steckel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rtl w:val="0"/>
        </w:rPr>
        <w:t xml:space="preserve">Title: </w:t>
      </w:r>
      <w:r w:rsidDel="00000000" w:rsidR="00000000" w:rsidRPr="00000000">
        <w:rPr>
          <w:u w:val="single"/>
          <w:rtl w:val="0"/>
        </w:rPr>
        <w:t xml:space="preserve">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By:</w:t>
      </w:r>
      <w:r w:rsidDel="00000000" w:rsidR="00000000" w:rsidRPr="00000000">
        <w:rPr>
          <w:u w:val="single"/>
          <w:rtl w:val="0"/>
        </w:rPr>
        <w:t xml:space="preserve"> /s/ Michael Moretti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 Michael Moretti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Form of Promissory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[SEE ATTACHED]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Form of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[SEE ATTACHED]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Form of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[SEE ATTACHED]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Exhibit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Form of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[SEE ATTACHED]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Exhibit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Form of Intercreditor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[SEE ATTACHED]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