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OccuLogix, Inc. (d/b/a TearLab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11025 Roselle St., Suite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San Diego, CA  92121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6"/>
        <w:gridCol w:w="3744.0000000000005"/>
        <w:tblGridChange w:id="0">
          <w:tblGrid>
            <w:gridCol w:w="5616"/>
            <w:gridCol w:w="3744.000000000000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January 8, 2010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Greybrook Capital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5090 Explorer Drive, Suite 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Mississauga, Ontario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L4W 4T9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Advisory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is hereby made to the Advisory Agreement, dated November 2, 2009, between OccuLogix, Inc.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Greybrook Capital Inc. (</w:t>
      </w:r>
      <w:r w:rsidDel="00000000" w:rsidR="00000000" w:rsidRPr="00000000">
        <w:rPr>
          <w:rFonts w:ascii="times new roman" w:cs="times new roman" w:eastAsia="times new roman" w:hAnsi="times new roman"/>
          <w:b w:val="1"/>
          <w:sz w:val="20"/>
          <w:szCs w:val="20"/>
          <w:rtl w:val="0"/>
        </w:rPr>
        <w:t xml:space="preserve">“Greybrook”</w:t>
      </w:r>
      <w:r w:rsidDel="00000000" w:rsidR="00000000" w:rsidRPr="00000000">
        <w:rPr>
          <w:rFonts w:ascii="times new roman" w:cs="times new roman" w:eastAsia="times new roman" w:hAnsi="times new roman"/>
          <w:sz w:val="20"/>
          <w:szCs w:val="20"/>
          <w:rtl w:val="0"/>
        </w:rPr>
        <w:t xml:space="preserve">), pursuant to which Greybrook is rendering corporate finance advisory services to the Company.  Such Advisory Agreement is referred to hereinafter as the </w:t>
      </w:r>
      <w:r w:rsidDel="00000000" w:rsidR="00000000" w:rsidRPr="00000000">
        <w:rPr>
          <w:rFonts w:ascii="times new roman" w:cs="times new roman" w:eastAsia="times new roman" w:hAnsi="times new roman"/>
          <w:b w:val="1"/>
          <w:sz w:val="20"/>
          <w:szCs w:val="20"/>
          <w:rtl w:val="0"/>
        </w:rPr>
        <w:t xml:space="preserve">“Advisory Agreement”</w:t>
      </w:r>
      <w:r w:rsidDel="00000000" w:rsidR="00000000" w:rsidRPr="00000000">
        <w:rPr>
          <w:rFonts w:ascii="times new roman" w:cs="times new roman" w:eastAsia="times new roman" w:hAnsi="times new roman"/>
          <w:sz w:val="20"/>
          <w:szCs w:val="20"/>
          <w:rtl w:val="0"/>
        </w:rPr>
        <w:t xml:space="preserve">.  Capitalized terms used herein, but not defined, have the respective meanings attributed to such terms in the Advisory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and Greybrook hereby agree that, notwithstanding Section 2(a) of the Advisory Agreement, the Advisory Fee shall consist (in Greybrook’s sole discretion) of (i) U.S.$100,000 in cash or (ii) shares of the Company’s common stock in a number equal to the quotient of (A) U.S.$100,000 and (B) U.S.$1.22, being the per share closing consolidated bid price of the Company’s common stock on NASDAQ on the Effective Date.  For greater certainty, in the event that Greybrook shall elect to be paid the Advisory Fee in shares of the Company’s common stock, the Company shall issue to Greybrook 81,967 shares of the Company’s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Advisory Agreement remains in full force and effect, unamended, other than as specifically amended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foregoing correctly sets forth the mutual understanding of Greybrook and the Company, please indicate so by signing below and returning an executed copy hereof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Yours very truly,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OCCULOGIX,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3"/>
        <w:tblW w:w="2506.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2106"/>
        <w:tblGridChange w:id="0">
          <w:tblGrid>
            <w:gridCol w:w="400"/>
            <w:gridCol w:w="2106"/>
          </w:tblGrid>
        </w:tblGridChange>
      </w:tblGrid>
      <w:tr>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William G. Dumencu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G. Dumencu</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 &amp; Treasurer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foregoing is in accordance with Greybrook’s understanding of the subject matter in question is agreed to by Greybrook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GREYBROOK CAPITAL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4"/>
        <w:tblW w:w="2506.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2106"/>
        <w:tblGridChange w:id="0">
          <w:tblGrid>
            <w:gridCol w:w="400"/>
            <w:gridCol w:w="2106"/>
          </w:tblGrid>
        </w:tblGridChange>
      </w:tblGrid>
      <w:tr>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Greg Marchant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Greg Marchant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CEO and Secretary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