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REGISTRATION RIGHTS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8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THIS REGISTRATION RIGHTS AGREEMENT</w:t>
      </w:r>
      <w:r w:rsidDel="00000000" w:rsidR="00000000" w:rsidRPr="00000000">
        <w:rPr>
          <w:rFonts w:ascii="Times New Roman" w:cs="Times New Roman" w:eastAsia="Times New Roman" w:hAnsi="Times New Roman"/>
          <w:sz w:val="20"/>
          <w:szCs w:val="20"/>
          <w:rtl w:val="0"/>
        </w:rPr>
        <w:t xml:space="preserve"> (this “</w:t>
      </w:r>
      <w:r w:rsidDel="00000000" w:rsidR="00000000" w:rsidRPr="00000000">
        <w:rPr>
          <w:rFonts w:ascii="Times New Roman" w:cs="Times New Roman" w:eastAsia="Times New Roman" w:hAnsi="Times New Roman"/>
          <w:sz w:val="20"/>
          <w:szCs w:val="20"/>
          <w:u w:val="single"/>
          <w:rtl w:val="0"/>
        </w:rPr>
        <w:t xml:space="preserve">Agreement</w:t>
      </w:r>
      <w:r w:rsidDel="00000000" w:rsidR="00000000" w:rsidRPr="00000000">
        <w:rPr>
          <w:rFonts w:ascii="Times New Roman" w:cs="Times New Roman" w:eastAsia="Times New Roman" w:hAnsi="Times New Roman"/>
          <w:sz w:val="20"/>
          <w:szCs w:val="20"/>
          <w:rtl w:val="0"/>
        </w:rPr>
        <w:t xml:space="preserve">”), dated as of January 4, 2010, by and among</w:t>
      </w:r>
      <w:r w:rsidDel="00000000" w:rsidR="00000000" w:rsidRPr="00000000">
        <w:rPr>
          <w:rFonts w:ascii="Times New Roman" w:cs="Times New Roman" w:eastAsia="Times New Roman" w:hAnsi="Times New Roman"/>
          <w:b w:val="1"/>
          <w:sz w:val="20"/>
          <w:szCs w:val="20"/>
          <w:rtl w:val="0"/>
        </w:rPr>
        <w:t xml:space="preserve"> Man Shing Agricultural Holdings, Inc.,</w:t>
      </w:r>
      <w:r w:rsidDel="00000000" w:rsidR="00000000" w:rsidRPr="00000000">
        <w:rPr>
          <w:rFonts w:ascii="Times New Roman" w:cs="Times New Roman" w:eastAsia="Times New Roman" w:hAnsi="Times New Roman"/>
          <w:sz w:val="20"/>
          <w:szCs w:val="20"/>
          <w:rtl w:val="0"/>
        </w:rPr>
        <w:t xml:space="preserve"> a Nevada corporation, with headquarters located at Unit 1005, 10/F, Tower, Hunghom Commercial Centre, 37 Ma Tau Wai Road, Hunghom, Kowloon, Hong Kong (the “</w:t>
      </w:r>
      <w:r w:rsidDel="00000000" w:rsidR="00000000" w:rsidRPr="00000000">
        <w:rPr>
          <w:rFonts w:ascii="Times New Roman" w:cs="Times New Roman" w:eastAsia="Times New Roman" w:hAnsi="Times New Roman"/>
          <w:sz w:val="20"/>
          <w:szCs w:val="20"/>
          <w:u w:val="single"/>
          <w:rtl w:val="0"/>
        </w:rPr>
        <w:t xml:space="preserve">Company</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b w:val="1"/>
          <w:sz w:val="20"/>
          <w:szCs w:val="20"/>
          <w:rtl w:val="0"/>
        </w:rPr>
        <w:t xml:space="preserve">China Angel Assets Management Limited</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sz w:val="20"/>
          <w:szCs w:val="20"/>
          <w:u w:val="single"/>
          <w:rtl w:val="0"/>
        </w:rPr>
        <w:t xml:space="preserve">Investor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880"/>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WHEREAS: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8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In connection with the Securities Purchase Agreement by and among the parties hereto of even date herewith (the </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Securities Purchase Agreement</w:t>
      </w:r>
      <w:r w:rsidDel="00000000" w:rsidR="00000000" w:rsidRPr="00000000">
        <w:rPr>
          <w:rFonts w:ascii="Times New Roman" w:cs="Times New Roman" w:eastAsia="Times New Roman" w:hAnsi="Times New Roman"/>
          <w:sz w:val="20"/>
          <w:szCs w:val="20"/>
          <w:rtl w:val="0"/>
        </w:rPr>
        <w:t xml:space="preserve">”), the Company has agreed, upon the terms and subject to the conditions of the Securities Purchase Agreement, to issue and sell to the Investor secured units (the “Unit</w:t>
      </w:r>
      <w:r w:rsidDel="00000000" w:rsidR="00000000" w:rsidRPr="00000000">
        <w:rPr>
          <w:rFonts w:ascii="Times New Roman" w:cs="Times New Roman" w:eastAsia="Times New Roman" w:hAnsi="Times New Roman"/>
          <w:sz w:val="20"/>
          <w:szCs w:val="20"/>
          <w:u w:val="single"/>
          <w:rtl w:val="0"/>
        </w:rPr>
        <w:t xml:space="preserve">(s)</w:t>
      </w:r>
      <w:r w:rsidDel="00000000" w:rsidR="00000000" w:rsidRPr="00000000">
        <w:rPr>
          <w:rFonts w:ascii="Times New Roman" w:cs="Times New Roman" w:eastAsia="Times New Roman" w:hAnsi="Times New Roman"/>
          <w:sz w:val="20"/>
          <w:szCs w:val="20"/>
          <w:rtl w:val="0"/>
        </w:rPr>
        <w:t xml:space="preserve">”) where each unit shall consist of (i) one three (3) year eight percent (8%) annual interest $100,000 convertible redeemable debenture (the “Debenture”) to be convertible into that number of shares of the Company’s common stock, par value US$0.001 per share, (ii) 80,000 shares of the Company’s common stock, par value US $0.001 (collectively referred to as the “</w:t>
      </w:r>
      <w:r w:rsidDel="00000000" w:rsidR="00000000" w:rsidRPr="00000000">
        <w:rPr>
          <w:rFonts w:ascii="Times New Roman" w:cs="Times New Roman" w:eastAsia="Times New Roman" w:hAnsi="Times New Roman"/>
          <w:sz w:val="20"/>
          <w:szCs w:val="20"/>
          <w:u w:val="single"/>
          <w:rtl w:val="0"/>
        </w:rPr>
        <w:t xml:space="preserve">Common Stock</w:t>
      </w:r>
      <w:r w:rsidDel="00000000" w:rsidR="00000000" w:rsidRPr="00000000">
        <w:rPr>
          <w:rFonts w:ascii="Times New Roman" w:cs="Times New Roman" w:eastAsia="Times New Roman" w:hAnsi="Times New Roman"/>
          <w:sz w:val="20"/>
          <w:szCs w:val="20"/>
          <w:rtl w:val="0"/>
        </w:rPr>
        <w:t xml:space="preserve">”), and (iii) one Right to acquire an additional Unit within three years, pursuant to the terms of the Securities Purchase Agreement for an aggregate purchase price of up to One Million U.S. Dollars ($1,000,000).  Capitalized terms not defined herein shall have the meaning ascribed to them in the Securities Purchase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8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To induce the Investor to execute and deliver the Securities Purchase Agreement, the Company has agreed to provide certain registration rights under the Securities Act of 1933, as amended, and the rules and regulations there under, or any similar successor statute (collectively, the “</w:t>
      </w:r>
      <w:r w:rsidDel="00000000" w:rsidR="00000000" w:rsidRPr="00000000">
        <w:rPr>
          <w:rFonts w:ascii="Times New Roman" w:cs="Times New Roman" w:eastAsia="Times New Roman" w:hAnsi="Times New Roman"/>
          <w:sz w:val="20"/>
          <w:szCs w:val="20"/>
          <w:u w:val="single"/>
          <w:rtl w:val="0"/>
        </w:rPr>
        <w:t xml:space="preserve">1933 Act</w:t>
      </w:r>
      <w:r w:rsidDel="00000000" w:rsidR="00000000" w:rsidRPr="00000000">
        <w:rPr>
          <w:rFonts w:ascii="Times New Roman" w:cs="Times New Roman" w:eastAsia="Times New Roman" w:hAnsi="Times New Roman"/>
          <w:sz w:val="20"/>
          <w:szCs w:val="20"/>
          <w:rtl w:val="0"/>
        </w:rPr>
        <w:t xml:space="preserve">”), and applicable state securities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8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NOW, THEREFORE,</w:t>
      </w:r>
      <w:r w:rsidDel="00000000" w:rsidR="00000000" w:rsidRPr="00000000">
        <w:rPr>
          <w:rFonts w:ascii="Times New Roman" w:cs="Times New Roman" w:eastAsia="Times New Roman" w:hAnsi="Times New Roman"/>
          <w:sz w:val="20"/>
          <w:szCs w:val="20"/>
          <w:rtl w:val="0"/>
        </w:rPr>
        <w:t xml:space="preserve"> in consideration of the premises and the mutual covenants contained herein and other good and valuable consideration, the receipt and sufficiency of which are hereby acknowledged, the Company and the Investor hereby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5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DEFINITIONS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8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used in this Agreement, the following terms shall have the following meanings: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20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Person</w:t>
      </w:r>
      <w:r w:rsidDel="00000000" w:rsidR="00000000" w:rsidRPr="00000000">
        <w:rPr>
          <w:rFonts w:ascii="Times New Roman" w:cs="Times New Roman" w:eastAsia="Times New Roman" w:hAnsi="Times New Roman"/>
          <w:sz w:val="20"/>
          <w:szCs w:val="20"/>
          <w:rtl w:val="0"/>
        </w:rPr>
        <w:t xml:space="preserve">” means a corporation, a limited liability company, an association, a partnership, an organization, a business, an individual, a governmental or political subdivision thereof or a governmental agency.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2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Register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registered</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registration</w:t>
      </w:r>
      <w:r w:rsidDel="00000000" w:rsidR="00000000" w:rsidRPr="00000000">
        <w:rPr>
          <w:rFonts w:ascii="Times New Roman" w:cs="Times New Roman" w:eastAsia="Times New Roman" w:hAnsi="Times New Roman"/>
          <w:sz w:val="20"/>
          <w:szCs w:val="20"/>
          <w:rtl w:val="0"/>
        </w:rPr>
        <w:t xml:space="preserve">” refer to a registration effected by preparing and filing one or more Registration Statements (as defined below) in compliance with the 1933 Act and pursuant to Rule 415 under the 1933 Act or any successor rule providing for offering securities on a continuous or delayed basis (“</w:t>
      </w:r>
      <w:r w:rsidDel="00000000" w:rsidR="00000000" w:rsidRPr="00000000">
        <w:rPr>
          <w:rFonts w:ascii="Times New Roman" w:cs="Times New Roman" w:eastAsia="Times New Roman" w:hAnsi="Times New Roman"/>
          <w:sz w:val="20"/>
          <w:szCs w:val="20"/>
          <w:u w:val="single"/>
          <w:rtl w:val="0"/>
        </w:rPr>
        <w:t xml:space="preserve">Rule 415</w:t>
      </w:r>
      <w:r w:rsidDel="00000000" w:rsidR="00000000" w:rsidRPr="00000000">
        <w:rPr>
          <w:rFonts w:ascii="Times New Roman" w:cs="Times New Roman" w:eastAsia="Times New Roman" w:hAnsi="Times New Roman"/>
          <w:sz w:val="20"/>
          <w:szCs w:val="20"/>
          <w:rtl w:val="0"/>
        </w:rPr>
        <w:t xml:space="preserve">”), and the declaration or ordering of effectiveness of such Registration Statement(s) by the United States Securities and Exchange SEC (the “</w:t>
      </w:r>
      <w:r w:rsidDel="00000000" w:rsidR="00000000" w:rsidRPr="00000000">
        <w:rPr>
          <w:rFonts w:ascii="Times New Roman" w:cs="Times New Roman" w:eastAsia="Times New Roman" w:hAnsi="Times New Roman"/>
          <w:sz w:val="20"/>
          <w:szCs w:val="20"/>
          <w:u w:val="single"/>
          <w:rtl w:val="0"/>
        </w:rPr>
        <w:t xml:space="preserve">SEC</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2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Registrable Securities</w:t>
      </w:r>
      <w:r w:rsidDel="00000000" w:rsidR="00000000" w:rsidRPr="00000000">
        <w:rPr>
          <w:rFonts w:ascii="Times New Roman" w:cs="Times New Roman" w:eastAsia="Times New Roman" w:hAnsi="Times New Roman"/>
          <w:sz w:val="20"/>
          <w:szCs w:val="20"/>
          <w:rtl w:val="0"/>
        </w:rPr>
        <w:t xml:space="preserve">” means the shares of Common Stock issuable to Investor upon conversion of the Units issued pursuant to the Securities Purchase Agreement. As to any particular Registrable Securities, such securities will cease to be Registrable Securities when (a) they have been effectively registered under the 1933 Act and disposed of in accordance with the registration statement covering them, (b) they have been sold, or may be sold without volume restrictions pursuant to Rule 144(b)(1) promulgated by the SEC under the 1933 Act, or (c) they have been otherwise transferred and new certificates for them not bearing a restrictive legend have been issued by the Company and the Company shall not have “stop transfer” instructions against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5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Registration Statement</w:t>
      </w:r>
      <w:r w:rsidDel="00000000" w:rsidR="00000000" w:rsidRPr="00000000">
        <w:rPr>
          <w:rFonts w:ascii="Times New Roman" w:cs="Times New Roman" w:eastAsia="Times New Roman" w:hAnsi="Times New Roman"/>
          <w:sz w:val="20"/>
          <w:szCs w:val="20"/>
          <w:rtl w:val="0"/>
        </w:rPr>
        <w:t xml:space="preserve">” means a registration statement under the 1933 Act which covers the Registrable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5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Rule 144</w:t>
      </w:r>
      <w:r w:rsidDel="00000000" w:rsidR="00000000" w:rsidRPr="00000000">
        <w:rPr>
          <w:rFonts w:ascii="Times New Roman" w:cs="Times New Roman" w:eastAsia="Times New Roman" w:hAnsi="Times New Roman"/>
          <w:sz w:val="20"/>
          <w:szCs w:val="20"/>
          <w:rtl w:val="0"/>
        </w:rPr>
        <w:t xml:space="preserve">” means Rule 144 promulgated under the 1933 Act or any similar rule or regulation of the SEC that may at any time permit the Investor to sell securities of the Company to the public without registration.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5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REGISTRATION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2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Subject to the terms and conditions of this Agreement, the Company shall prepare and file, no later than thirty (30) days from the date hereof (the “</w:t>
      </w:r>
      <w:r w:rsidDel="00000000" w:rsidR="00000000" w:rsidRPr="00000000">
        <w:rPr>
          <w:rFonts w:ascii="Times New Roman" w:cs="Times New Roman" w:eastAsia="Times New Roman" w:hAnsi="Times New Roman"/>
          <w:sz w:val="20"/>
          <w:szCs w:val="20"/>
          <w:u w:val="single"/>
          <w:rtl w:val="0"/>
        </w:rPr>
        <w:t xml:space="preserve">Scheduled Filing Deadline</w:t>
      </w:r>
      <w:r w:rsidDel="00000000" w:rsidR="00000000" w:rsidRPr="00000000">
        <w:rPr>
          <w:rFonts w:ascii="Times New Roman" w:cs="Times New Roman" w:eastAsia="Times New Roman" w:hAnsi="Times New Roman"/>
          <w:sz w:val="20"/>
          <w:szCs w:val="20"/>
          <w:rtl w:val="0"/>
        </w:rPr>
        <w:t xml:space="preserve">”), with the SEC a registration statement on Form S-1 (or, if the Company is then eligible, on Form S-3) under the 1933 Act (the “</w:t>
      </w:r>
      <w:r w:rsidDel="00000000" w:rsidR="00000000" w:rsidRPr="00000000">
        <w:rPr>
          <w:rFonts w:ascii="Times New Roman" w:cs="Times New Roman" w:eastAsia="Times New Roman" w:hAnsi="Times New Roman"/>
          <w:sz w:val="20"/>
          <w:szCs w:val="20"/>
          <w:u w:val="single"/>
          <w:rtl w:val="0"/>
        </w:rPr>
        <w:t xml:space="preserve">Initial Registration Statement</w:t>
      </w:r>
      <w:r w:rsidDel="00000000" w:rsidR="00000000" w:rsidRPr="00000000">
        <w:rPr>
          <w:rFonts w:ascii="Times New Roman" w:cs="Times New Roman" w:eastAsia="Times New Roman" w:hAnsi="Times New Roman"/>
          <w:sz w:val="20"/>
          <w:szCs w:val="20"/>
          <w:rtl w:val="0"/>
        </w:rPr>
        <w:t xml:space="preserve">”) for the registration for the resale by the Investor at least five (5) times the number of shares which are anticipated to be issued upon conversion of the Units issued pursuant to the Securities Purchase Agreement and shares of Common Stock issuable to the Investor upon exercise of the Warrants issued pursuant to the Securities Purchase Agreement (subject to Rule 415 restrictions).  The Company shall cause the Registration Statement to remain effective until all of the Registrable Securities have been sold by the Investor.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2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Effectiveness of the Initial Registration Statement</w:t>
      </w:r>
      <w:r w:rsidDel="00000000" w:rsidR="00000000" w:rsidRPr="00000000">
        <w:rPr>
          <w:rFonts w:ascii="Times New Roman" w:cs="Times New Roman" w:eastAsia="Times New Roman" w:hAnsi="Times New Roman"/>
          <w:sz w:val="20"/>
          <w:szCs w:val="20"/>
          <w:rtl w:val="0"/>
        </w:rPr>
        <w:t xml:space="preserve">.  The Company shall use its best efforts (i) to have the Initial Registration Statement declared effective by the SEC no later than one hundred twenty (120) days after the First Closing Date (the “</w:t>
      </w:r>
      <w:r w:rsidDel="00000000" w:rsidR="00000000" w:rsidRPr="00000000">
        <w:rPr>
          <w:rFonts w:ascii="Times New Roman" w:cs="Times New Roman" w:eastAsia="Times New Roman" w:hAnsi="Times New Roman"/>
          <w:sz w:val="20"/>
          <w:szCs w:val="20"/>
          <w:u w:val="single"/>
          <w:rtl w:val="0"/>
        </w:rPr>
        <w:t xml:space="preserve">Scheduled Effective Deadline</w:t>
      </w:r>
      <w:r w:rsidDel="00000000" w:rsidR="00000000" w:rsidRPr="00000000">
        <w:rPr>
          <w:rFonts w:ascii="Times New Roman" w:cs="Times New Roman" w:eastAsia="Times New Roman" w:hAnsi="Times New Roman"/>
          <w:sz w:val="20"/>
          <w:szCs w:val="20"/>
          <w:rtl w:val="0"/>
        </w:rPr>
        <w:t xml:space="preserve">”) and (ii) to insure that the Initial Registration Statement and any subsequent Registration Statement remains in effect until all of the Registrable Securities have been sold, subject to the terms and conditions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2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Failure to File or Obtain Effectiveness of the Registration Statement</w:t>
      </w:r>
      <w:r w:rsidDel="00000000" w:rsidR="00000000" w:rsidRPr="00000000">
        <w:rPr>
          <w:rFonts w:ascii="Times New Roman" w:cs="Times New Roman" w:eastAsia="Times New Roman" w:hAnsi="Times New Roman"/>
          <w:sz w:val="20"/>
          <w:szCs w:val="20"/>
          <w:rtl w:val="0"/>
        </w:rPr>
        <w:t xml:space="preserve">.  In the event the Registration Statement is not declared effective by the SEC on or before the Scheduled Effective Date, or if after the Registration Statement has been declared effective by the SEC, sales cannot be made pursuant to the Registration Statement (whether because of a failure to keep the Registration Statement effective, failure to disclose such information as is necessary for sales to be made pursuant to the Registration Statement, failure to register sufficient shares of Common Stock or otherwise then as partial relief for the damages to any holder of Registrable Securities by reason of any such delay in or reduction of its ability to sell the underlying shares of Common Stock (which remedy shall not be exclusive of any other remedies at law or in equity), the Company will pay as liquidated damages (the “</w:t>
      </w:r>
      <w:r w:rsidDel="00000000" w:rsidR="00000000" w:rsidRPr="00000000">
        <w:rPr>
          <w:rFonts w:ascii="Times New Roman" w:cs="Times New Roman" w:eastAsia="Times New Roman" w:hAnsi="Times New Roman"/>
          <w:sz w:val="20"/>
          <w:szCs w:val="20"/>
          <w:u w:val="single"/>
          <w:rtl w:val="0"/>
        </w:rPr>
        <w:t xml:space="preserve">Liquidated Damages</w:t>
      </w:r>
      <w:r w:rsidDel="00000000" w:rsidR="00000000" w:rsidRPr="00000000">
        <w:rPr>
          <w:rFonts w:ascii="Times New Roman" w:cs="Times New Roman" w:eastAsia="Times New Roman" w:hAnsi="Times New Roman"/>
          <w:sz w:val="20"/>
          <w:szCs w:val="20"/>
          <w:rtl w:val="0"/>
        </w:rPr>
        <w:t xml:space="preserve">”) to the holder, at the holder’s option, either a cash amount or shares of the Company’s Common Stock within three (3) business days, after demand therefore, equal to two percent (2%) of the liquidated value of the Units outstanding as Liquidated Damages for each thirty (30) day period (or any part thereof) after the Scheduled Filing Deadline or the Scheduled Effective Date as the case may be.  Notwithstanding anything herein to the contrary, to the extent that the registration of any or all of the Registrable Securities by the Company on a registration statement is prohibited (the “</w:t>
      </w:r>
      <w:r w:rsidDel="00000000" w:rsidR="00000000" w:rsidRPr="00000000">
        <w:rPr>
          <w:rFonts w:ascii="Times New Roman" w:cs="Times New Roman" w:eastAsia="Times New Roman" w:hAnsi="Times New Roman"/>
          <w:sz w:val="20"/>
          <w:szCs w:val="20"/>
          <w:u w:val="single"/>
          <w:rtl w:val="0"/>
        </w:rPr>
        <w:t xml:space="preserve">Non-Registered Shares</w:t>
      </w:r>
      <w:r w:rsidDel="00000000" w:rsidR="00000000" w:rsidRPr="00000000">
        <w:rPr>
          <w:rFonts w:ascii="Times New Roman" w:cs="Times New Roman" w:eastAsia="Times New Roman" w:hAnsi="Times New Roman"/>
          <w:sz w:val="20"/>
          <w:szCs w:val="20"/>
          <w:rtl w:val="0"/>
        </w:rPr>
        <w:t xml:space="preserve">”) as a result of rules, regulations, positions or releases issued or actions taken by the SEC pursuant to its authority with respect to Rule 415 under the 1933 Act and the Company has registered at such time the maximum number of Registrable Securities permissible upon consultation with the SEC, then the liquidated damages described herein shall not be applicable to such Non-Registered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2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Liquidated Damages</w:t>
      </w:r>
      <w:r w:rsidDel="00000000" w:rsidR="00000000" w:rsidRPr="00000000">
        <w:rPr>
          <w:rFonts w:ascii="Times New Roman" w:cs="Times New Roman" w:eastAsia="Times New Roman" w:hAnsi="Times New Roman"/>
          <w:sz w:val="20"/>
          <w:szCs w:val="20"/>
          <w:rtl w:val="0"/>
        </w:rPr>
        <w:t xml:space="preserve">.  The Company and the Investor hereto acknowledge and agree that the sums payable under subsection 2(c) above shall constitute liquidated damages and not penalties and are in addition to all other rights of the Investor, including the right to call a default.  The parties further acknowledge that (i) the amount of loss or damages likely to be incurred is incapable or is difficult to precisely estimate, (ii) the amounts specified in such subsections bear a reasonable relationship to, and are not plainly or grossly disproportionate to, the probable loss likely to be incurred in connection with any failure by the Company to obtain or maintain the effectiveness of a Registration Statement, (iii) one of the reasons for the Company and the Investor reaching an agreement as to such amounts was the uncertainty and cost of litigation regarding the question of actual damages, and (iv) the Company and the Investor are sophisticated business parties and have been represented by sophisticated and able legal counsel and negotiated this Agreement at arm’s length.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2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Choice of law firm.</w:t>
      </w:r>
      <w:r w:rsidDel="00000000" w:rsidR="00000000" w:rsidRPr="00000000">
        <w:rPr>
          <w:rFonts w:ascii="Times New Roman" w:cs="Times New Roman" w:eastAsia="Times New Roman" w:hAnsi="Times New Roman"/>
          <w:sz w:val="20"/>
          <w:szCs w:val="20"/>
          <w:rtl w:val="0"/>
        </w:rPr>
        <w:t xml:space="preserve"> The Company shall use either JPF Securities Law, LLC or any other law firms agreed by the Company and Investor to draft and file the Registration Statement.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5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RELATED OBLIGATIONS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2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The Company shall keep the Registration Statement effective pursuant to Rule 415 at all times until all Registrable Securities covered by such Registration Statement have been sold  (the “</w:t>
      </w:r>
      <w:r w:rsidDel="00000000" w:rsidR="00000000" w:rsidRPr="00000000">
        <w:rPr>
          <w:rFonts w:ascii="Times New Roman" w:cs="Times New Roman" w:eastAsia="Times New Roman" w:hAnsi="Times New Roman"/>
          <w:sz w:val="20"/>
          <w:szCs w:val="20"/>
          <w:u w:val="single"/>
          <w:rtl w:val="0"/>
        </w:rPr>
        <w:t xml:space="preserve">Registration Period</w:t>
      </w:r>
      <w:r w:rsidDel="00000000" w:rsidR="00000000" w:rsidRPr="00000000">
        <w:rPr>
          <w:rFonts w:ascii="Times New Roman" w:cs="Times New Roman" w:eastAsia="Times New Roman" w:hAnsi="Times New Roman"/>
          <w:sz w:val="20"/>
          <w:szCs w:val="20"/>
          <w:rtl w:val="0"/>
        </w:rPr>
        <w:t xml:space="preserve">”), which Registration Statement (including any amendments or supplements thereto and prospectuses contained therein) shall not contain any untrue statement of a material fact or omit to state a material fact required to be stated therein, or necessary to make the statements therein, in light of the circumstances in which they were made, not misleading.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2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The Company shall prepare and file with the SEC such amendments (including post-effective amendments) and supplements to a Registration Statement and the prospectus used in connection with such Registration Statement, which prospectus is to be filed pursuant to Rule 424 promulgated under the 1933 Act, as may be necessary to keep such Registration Statement effective at all times during the Registration Period, and, during such period, comply with the provisions of the 1933 Act with respect to the disposition of all Registrable Securities of the Company covered by such Registration Statement until such time as all of such Registrable Securities shall have been disposed of in accordance with the intended methods of disposition by the seller or sellers thereof as set forth in such Registration Statement.  In the case of amendments and supplements to a Registration Statement which are required to be filed pursuant to this Agreement (including pursuant to this Section 3(b)) by reason of the Company’s filing a report on Form 10-K, Form 10-Q, or Form 8-K or any analogous report under the Securities Exchange Act of 1934, as amended (the “</w:t>
      </w:r>
      <w:r w:rsidDel="00000000" w:rsidR="00000000" w:rsidRPr="00000000">
        <w:rPr>
          <w:rFonts w:ascii="Times New Roman" w:cs="Times New Roman" w:eastAsia="Times New Roman" w:hAnsi="Times New Roman"/>
          <w:sz w:val="20"/>
          <w:szCs w:val="20"/>
          <w:u w:val="single"/>
          <w:rtl w:val="0"/>
        </w:rPr>
        <w:t xml:space="preserve">1934 Act</w:t>
      </w:r>
      <w:r w:rsidDel="00000000" w:rsidR="00000000" w:rsidRPr="00000000">
        <w:rPr>
          <w:rFonts w:ascii="Times New Roman" w:cs="Times New Roman" w:eastAsia="Times New Roman" w:hAnsi="Times New Roman"/>
          <w:sz w:val="20"/>
          <w:szCs w:val="20"/>
          <w:rtl w:val="0"/>
        </w:rPr>
        <w:t xml:space="preserve">”), the Company shall incorporate such report by reference into the Registration Statement, if applicable, or shall file such amendments or supplements with the SEC on the same day on which the 1934 Act report is filed which created the requirement for the Company to amend or supplement the Registration Statement.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2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The Company shall furnish to the Investor, (i) such number of copies of the Registration Statement as declared effective by the SEC and any amendment(s) thereto, including financial statements and schedules, all documents incorporated therein by reference, all exhibits and each preliminary prospectus as Investor may reasonably request, (ii) such number of copies of the final prospectus included in such Registration Statement and all amendments and supplements thereto (or such other number of copies as such Investor may reasonably request in writing) as Investor may reasonably request and (iii) such other documents as such Investor may reasonably request in writing from time to time in order to facilitate the disposition of the Registrable Securities owned by such Investor.  Unless otherwise specified by the Investor, the Company may furnish copies of all such documents to the Investor in electronic form.  The Investor acknowledges that any obligation under section 5(b)(2) of the 1933 Act to have a prospectus that satisfies the requirements of section 10(a) of the 1933 Act precede or accompany the carrying or delivery of a security in a registered offering is satisfied if the conditions in Rule 172(c) under the 1933 Act have been met.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2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The Company shall use its best efforts to (i) register and qualify the Registrable Securities covered by a Registration Statement under such other securities or “blue sky” laws of such jurisdictions in the United States as any Investor reasonably requests, (ii) prepare and file in those jurisdictions, such amendments (including post-effective amendments) and supplements to such registrations and qualifications as may be necessary to maintain the effectiveness thereof during the Registration Period, (iii) take such other actions as may be necessary to maintain such registrations and qualifications in effect at all times during the Registration Period, and (iv) take all other actions reasonably necessary or advisable to qualify the Registrable Securities for sale in such jurisdictions; provided, however, that the Company shall not be required in connection therewith or as a condition thereto to (w) make any change to its certificate of incorporation or by-laws, (x) qualify to do business in any jurisdiction where it would not otherwise be required to qualify but for this Section 3(d), (y) subject itself to general taxation in any such jurisdiction, or (z) file a general consent to service of process in any such jurisdiction. The Company shall promptly notify the Investor of the receipt by the Company of any notification with respect to the suspension of the registration or qualification of any of the Registrable Securities for sale under the securities or “blue sky” laws of any jurisdiction in the United States or its receipt of actual notice of the initiation or threat of any proceeding for such purpose.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2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As promptly as practicable after becoming aware of such event or development, the Company shall notify the Investor in writing of the happening of any event as a result of which the prospectus included in a Registration Statement, as then in effect, includes an untrue statement of a material fact or omission to state a material fact required to be stated therein or necessary to make the statements therein, in light of the circumstances under which they were made, not misleading (provided that in no event shall such notice contain any material, nonpublic information), and promptly prepare a supplement or amendment to such Registration Statement to correct such untrue statement or omission, and deliver ten (10) copies of such supplement or amendment to the Investor.  The Company shall also promptly notify the Investor in writing (i) when a prospectus or any prospectus supplement or post-effective amendment has been filed, and when a Registration Statement or any post-effective amendment has become effective (notification of such effectiveness shall be delivered to the Investor by facsimile on the same day of such effectiveness), (ii) of any request by the SEC for amendments or supplements to a Registration Statement or related prospectus or related information, and (iii) of the Company’s reasonable determination that a post-effective amendment to a Registration Statement would be appropriate.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2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The Company shall use its best efforts to prevent the issuance of any stop order or other suspension of effectiveness of a Registration Statement, or the suspension of the qualification of any of the Registrable Securities for sale in any jurisdiction within the United States of America and, if such an order or suspension is issued, to obtain the withdrawal of such order or suspension at the earliest possible moment and to notify the Investor of such order and the resolution thereof or its receipt of actual notice of the initiation or threat of any proceeding for such purpose.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2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Upon written request, the Company shall make available for inspection by (i) any Investor and (ii) one (1) firm of accountants or other agents retained by the Investor (collectively, the “</w:t>
      </w:r>
      <w:r w:rsidDel="00000000" w:rsidR="00000000" w:rsidRPr="00000000">
        <w:rPr>
          <w:rFonts w:ascii="Times New Roman" w:cs="Times New Roman" w:eastAsia="Times New Roman" w:hAnsi="Times New Roman"/>
          <w:sz w:val="20"/>
          <w:szCs w:val="20"/>
          <w:u w:val="single"/>
          <w:rtl w:val="0"/>
        </w:rPr>
        <w:t xml:space="preserve">Inspectors</w:t>
      </w:r>
      <w:r w:rsidDel="00000000" w:rsidR="00000000" w:rsidRPr="00000000">
        <w:rPr>
          <w:rFonts w:ascii="Times New Roman" w:cs="Times New Roman" w:eastAsia="Times New Roman" w:hAnsi="Times New Roman"/>
          <w:sz w:val="20"/>
          <w:szCs w:val="20"/>
          <w:rtl w:val="0"/>
        </w:rPr>
        <w:t xml:space="preserve">”) all pertinent financial and other records, and pertinent corporate documents and properties of the Company (collectively, the “</w:t>
      </w:r>
      <w:r w:rsidDel="00000000" w:rsidR="00000000" w:rsidRPr="00000000">
        <w:rPr>
          <w:rFonts w:ascii="Times New Roman" w:cs="Times New Roman" w:eastAsia="Times New Roman" w:hAnsi="Times New Roman"/>
          <w:sz w:val="20"/>
          <w:szCs w:val="20"/>
          <w:u w:val="single"/>
          <w:rtl w:val="0"/>
        </w:rPr>
        <w:t xml:space="preserve">Records</w:t>
      </w:r>
      <w:r w:rsidDel="00000000" w:rsidR="00000000" w:rsidRPr="00000000">
        <w:rPr>
          <w:rFonts w:ascii="Times New Roman" w:cs="Times New Roman" w:eastAsia="Times New Roman" w:hAnsi="Times New Roman"/>
          <w:sz w:val="20"/>
          <w:szCs w:val="20"/>
          <w:rtl w:val="0"/>
        </w:rPr>
        <w:t xml:space="preserve">”), as shall be reasonably deemed necessary by each Inspector, and cause the Company’s officers, directors and employees to supply all information which any Inspector may reasonably request in writing; provided, however, that each Inspector shall agree, and the Investor hereby agrees, to hold in strict confidence and shall not make any disclosure (except to an Investor) or use  any Record or other information which the Company determines in good faith to be confidential, and of which determination the Inspectors are so notified, unless (a) the disclosure of such Records is necessary to avoid or correct a misstatement or omission in any Registration Statement or is otherwise required under the 1933 Act, (b) the release of such Records is ordered pursuant to a final, non-appealable subpoena or order from a court or government body of competent jurisdiction, or (c) the information in such Records has been made generally available to the public other than by disclosure in violation of this or any other agreement of which the Inspector and the Investor has knowledge.  The Investor agrees that it shall, upon learning that disclosure of such Records is sought in or by a court or governmental body of competent jurisdiction or through other means, give prompt notice to the Company and allow the Company, at its expense, to undertake appropriate action to prevent disclosure of, or to obtain a protective order for, the Records deemed confidential.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2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The Company shall hold in confidence and not make any disclosure of information concerning an Investor provided to the Company unless (i) disclosure of such information is necessary to comply with federal or state securities laws, (ii) the disclosure of such information is necessary to avoid or correct a misstatement or omission in any Registration Statement, (iii) the release of such information is ordered pursuant to a subpoena or other final, non-appealable order from a court or governmental body of competent jurisdiction, or (iv) such information has been made generally available to the public other than by disclosure in violation of this Agreement or any other agreement.  The Company agrees that it shall, upon learning that disclosure of such information concerning an Investor is sought in or by a court or governmental body of competent jurisdiction or through other means, give prompt written notice to such Investor and allow such Investor, at the Investor’s expense, to undertake appropriate action to prevent disclosure of, or to obtain a protective order for, such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2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The Company shall use its best efforts either to cause all the Registrable Securities covered by a Registration Statement (i) to be listed on each securities exchange on which securities of the same class or series issued by the Company are then listed, if any, if the listing of such Registrable Securities is then permitted under the rules of such exchange or (ii) the inclusion for quotation on the OTC Bulletin Board for such Registrable Securities. The Company shall pay all fees and expenses in connection with satisfying its obligation under this Section 3(j).</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2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The Company shall cooperate with the Investor, to the extent applicable, to facilitate the timely preparation and delivery of certificates (not bearing any restrictive legend) representing the Registrable Securities to be offered pursuant to a Registration Statement and enable such certificates to be in such denominations or amounts, as the case may be, as the Investor may reasonably request in writing and registered in such names as the Investor may request.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2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The Company shall use its best efforts to cause the Registrable Securities covered by the applicable Registration Statement to be registered with or approved by such other governmental agencies or authorities as may be necessary to consummate the disposition of such Registrable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2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The Company shall make generally available to its security holders as soon as practical, but not later than ninety (90) days after the close of the period covered thereby, an earnings statement (in form complying with the provisions of Rule 158 under the 1933 Act) covering a twelve (12) month period beginning not later than the first day of the Company’s fiscal quarter next following the effective date of the Registration Statement.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2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The Company shall otherwise use its best efforts to comply with all applicable rules and regulations of the SEC in connection with any registration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2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Within two (2) business days after a Registration Statement which covers Registrable Securities is declared effective by the SEC, the Company shall deliver, and shall cause legal counsel for the Company to deliver, to the transfer agent for such Registrable Securities (with copies to the Investor) confirmation that such Registration Statement has been declared effective by the SEC in the form attached hereto as </w:t>
      </w:r>
      <w:r w:rsidDel="00000000" w:rsidR="00000000" w:rsidRPr="00000000">
        <w:rPr>
          <w:rFonts w:ascii="Times New Roman" w:cs="Times New Roman" w:eastAsia="Times New Roman" w:hAnsi="Times New Roman"/>
          <w:sz w:val="20"/>
          <w:szCs w:val="20"/>
          <w:u w:val="single"/>
          <w:rtl w:val="0"/>
        </w:rPr>
        <w:t xml:space="preserve">Exhibit 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2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The Company shall take all other reasonable actions necessary to expedite and facilitate the lawful disposition by the Investor of Registrable Securities pursuant to a Registration Statement.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5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OBLIGATIONS OF THE INVESTOR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8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Investor agrees that, upon receipt of any notice from the Company of the happening of any event of the kind described in Section 3(f) or the first sentence of 3(e), such Investor will immediately discontinue disposition of Registrable Securities pursuant to any Registration Statement(s) covering such Registrable Securities until such Investor’s receipt of the copies of the supplemented or amended prospectus contemplated by Section 3(e) or receipt of notice that no supplement or amendment is required. Notwithstanding anything to the contrary, the Company shall cause its transfer agent to deliver unlegended certificates for shares of Common Stock to a transferee of an Investor in accordance with the terms of the Securities Purchase Agreement in connection with any sale of Registrable Securities with respect to which an Investor has entered into a contract for sale prior to the Investor’s receipt of a notice from the Company of the happening of any event of the kind described in Section 3(f) or the first sentence of 3(e) and for which the Investor has not yet settled.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5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EXPENSES OF REGISTRATION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8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expenses incurred in connection with registrations, filings or qualifications pursuant to Sections 2 and 3, including, without limitation, all registration, listing and qualifications fees, printers, legal and accounting fees shall be paid by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5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INDEMNIFICATION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8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respect to Registrable Securities which are included in a Registration Statement under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2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To the fullest extent permitted by law, the Company will, and hereby does, indemnify, hold harmless and defend the Investor, Investor’s directors, officers, partners, employees, agents, representatives of, and each Person, if any, who controls the Investor within the meaning of the 1933 Act or the 1934 Act (each, an “</w:t>
      </w:r>
      <w:r w:rsidDel="00000000" w:rsidR="00000000" w:rsidRPr="00000000">
        <w:rPr>
          <w:rFonts w:ascii="Times New Roman" w:cs="Times New Roman" w:eastAsia="Times New Roman" w:hAnsi="Times New Roman"/>
          <w:sz w:val="20"/>
          <w:szCs w:val="20"/>
          <w:u w:val="single"/>
          <w:rtl w:val="0"/>
        </w:rPr>
        <w:t xml:space="preserve">Indemnified Person</w:t>
      </w:r>
      <w:r w:rsidDel="00000000" w:rsidR="00000000" w:rsidRPr="00000000">
        <w:rPr>
          <w:rFonts w:ascii="Times New Roman" w:cs="Times New Roman" w:eastAsia="Times New Roman" w:hAnsi="Times New Roman"/>
          <w:sz w:val="20"/>
          <w:szCs w:val="20"/>
          <w:rtl w:val="0"/>
        </w:rPr>
        <w:t xml:space="preserve">”), against any losses, claims, damages, liabilities, judgments, fines, penalties, charges, costs, reasonable attorneys’ fees, amounts paid in settlement or expenses, joint or several (collectively, “</w:t>
      </w:r>
      <w:r w:rsidDel="00000000" w:rsidR="00000000" w:rsidRPr="00000000">
        <w:rPr>
          <w:rFonts w:ascii="Times New Roman" w:cs="Times New Roman" w:eastAsia="Times New Roman" w:hAnsi="Times New Roman"/>
          <w:sz w:val="20"/>
          <w:szCs w:val="20"/>
          <w:u w:val="single"/>
          <w:rtl w:val="0"/>
        </w:rPr>
        <w:t xml:space="preserve">Claims</w:t>
      </w:r>
      <w:r w:rsidDel="00000000" w:rsidR="00000000" w:rsidRPr="00000000">
        <w:rPr>
          <w:rFonts w:ascii="Times New Roman" w:cs="Times New Roman" w:eastAsia="Times New Roman" w:hAnsi="Times New Roman"/>
          <w:sz w:val="20"/>
          <w:szCs w:val="20"/>
          <w:rtl w:val="0"/>
        </w:rPr>
        <w:t xml:space="preserve">”) incurred in investigating, preparing or defending any action, claim, suit, inquiry, proceeding, investigation or appeal taken from the foregoing by or before any court or governmental, administrative or other regulatory agency, body or the SEC, whether pending or threatened, whether or not an indemnified party is or may be a party thereto (“</w:t>
      </w:r>
      <w:r w:rsidDel="00000000" w:rsidR="00000000" w:rsidRPr="00000000">
        <w:rPr>
          <w:rFonts w:ascii="Times New Roman" w:cs="Times New Roman" w:eastAsia="Times New Roman" w:hAnsi="Times New Roman"/>
          <w:sz w:val="20"/>
          <w:szCs w:val="20"/>
          <w:u w:val="single"/>
          <w:rtl w:val="0"/>
        </w:rPr>
        <w:t xml:space="preserve">Indemnified Damages</w:t>
      </w:r>
      <w:r w:rsidDel="00000000" w:rsidR="00000000" w:rsidRPr="00000000">
        <w:rPr>
          <w:rFonts w:ascii="Times New Roman" w:cs="Times New Roman" w:eastAsia="Times New Roman" w:hAnsi="Times New Roman"/>
          <w:sz w:val="20"/>
          <w:szCs w:val="20"/>
          <w:rtl w:val="0"/>
        </w:rPr>
        <w:t xml:space="preserve">”), to which any of them may become subject insofar as such Claims (or actions or proceedings, whether commenced or threatened, in respect thereof) arise out of or are based upon: (i) any untrue statement or alleged untrue statement of a material fact in a Registration Statement or any post-effective amendment thereto or in any filing made in connection with the qualification of the offering under the securities or other “blue sky” laws of any jurisdiction in which Registrable Securities are offered (“</w:t>
      </w:r>
      <w:r w:rsidDel="00000000" w:rsidR="00000000" w:rsidRPr="00000000">
        <w:rPr>
          <w:rFonts w:ascii="Times New Roman" w:cs="Times New Roman" w:eastAsia="Times New Roman" w:hAnsi="Times New Roman"/>
          <w:sz w:val="20"/>
          <w:szCs w:val="20"/>
          <w:u w:val="single"/>
          <w:rtl w:val="0"/>
        </w:rPr>
        <w:t xml:space="preserve">Blue Sky Filing</w:t>
      </w:r>
      <w:r w:rsidDel="00000000" w:rsidR="00000000" w:rsidRPr="00000000">
        <w:rPr>
          <w:rFonts w:ascii="Times New Roman" w:cs="Times New Roman" w:eastAsia="Times New Roman" w:hAnsi="Times New Roman"/>
          <w:sz w:val="20"/>
          <w:szCs w:val="20"/>
          <w:rtl w:val="0"/>
        </w:rPr>
        <w:t xml:space="preserve">”), or the omission or alleged omission to state a material fact required to be stated therein or necessary to make the statements therein not misleading; (ii) any untrue statement or alleged untrue statement of a material fact contained in any final prospectus (as amended or supplemented, if the Company files any amendment thereof or supplement thereto with the SEC) or the omission or alleged omission to state therein any material fact necessary to make the statements made therein, in light of the circumstances under which the statements therein were made, not misleading; or (iii) any violation or alleged violation by the Company of the 1933 Act, the 1934 Act, any other law, including, without limitation, any state securities law, or any rule or regulation there under relating to the offer or sale of the Registrable Securities pursuant to a Registration Statement (the matters in the foregoing clauses (i) through (iii) being, collectively, “</w:t>
      </w:r>
      <w:r w:rsidDel="00000000" w:rsidR="00000000" w:rsidRPr="00000000">
        <w:rPr>
          <w:rFonts w:ascii="Times New Roman" w:cs="Times New Roman" w:eastAsia="Times New Roman" w:hAnsi="Times New Roman"/>
          <w:sz w:val="20"/>
          <w:szCs w:val="20"/>
          <w:u w:val="single"/>
          <w:rtl w:val="0"/>
        </w:rPr>
        <w:t xml:space="preserve">Violations</w:t>
      </w:r>
      <w:r w:rsidDel="00000000" w:rsidR="00000000" w:rsidRPr="00000000">
        <w:rPr>
          <w:rFonts w:ascii="Times New Roman" w:cs="Times New Roman" w:eastAsia="Times New Roman" w:hAnsi="Times New Roman"/>
          <w:sz w:val="20"/>
          <w:szCs w:val="20"/>
          <w:rtl w:val="0"/>
        </w:rPr>
        <w:t xml:space="preserve">”).  The Company shall reimburse the Investor and each such controlling person promptly as such expenses are incurred and are due and payable, for any legal fees or disbursements or other reasonable expenses incurred by them in connection with investigating or defending any such Claim.  Notwithstanding anything to the contrary contained herein, the indemnification agreement contained in this Section 6(a): (x) shall not apply to a Claim by an Indemnified Person arising out of or based upon a Violation which occurs in reliance upon and in conformity with information furnished in writing to the Company by such Indemnified Person expressly for use in connection with the preparation of the Registration Statement or any such amendment thereof or supplement thereto; (y) shall not be available to the extent such Claim is based on a failure of the Investor to deliver or to cause to be delivered the prospectus made available by the Company, if such prospectus was timely made available by the Company pursuant to Section 3(c); and (z) shall not apply to amounts paid in settlement of any Claim if such settlement is effected without the prior written consent of the Company, which consent shall not be unreasonably withheld. Such indemnity shall remain in full force and effect regardless of any investigation made by or on behalf of the Indemnified Person and shall survive the transfer of the Registrable Securities by the Investor pursuant to Section 9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2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In connection with a Registration Statement, the Investor agrees to indemnify, hold harmless and defend, to the same extent and in the same manner as is set forth in Section 6(a), the Company, each of its directors, each of its officers, employees, representatives, or agents and each Person, if any, who controls the Company within the meaning of the 1933 Act or the 1934 Act (each an “</w:t>
      </w:r>
      <w:r w:rsidDel="00000000" w:rsidR="00000000" w:rsidRPr="00000000">
        <w:rPr>
          <w:rFonts w:ascii="Times New Roman" w:cs="Times New Roman" w:eastAsia="Times New Roman" w:hAnsi="Times New Roman"/>
          <w:sz w:val="20"/>
          <w:szCs w:val="20"/>
          <w:u w:val="single"/>
          <w:rtl w:val="0"/>
        </w:rPr>
        <w:t xml:space="preserve">Indemnified Party</w:t>
      </w:r>
      <w:r w:rsidDel="00000000" w:rsidR="00000000" w:rsidRPr="00000000">
        <w:rPr>
          <w:rFonts w:ascii="Times New Roman" w:cs="Times New Roman" w:eastAsia="Times New Roman" w:hAnsi="Times New Roman"/>
          <w:sz w:val="20"/>
          <w:szCs w:val="20"/>
          <w:rtl w:val="0"/>
        </w:rPr>
        <w:t xml:space="preserve">”), against any Claim or Indemnified Damages to which any of them may become subject, under the 1933 Act, the 1934 Act or otherwise, insofar as such Claim or Indemnified Damages arise out of or is based upon any Violation, in each case to the extent, and only to the extent, that such Violation occurs in reliance upon and in conformity with written information furnished to the Company by such Investor expressly for use in connection with such Registration Statement; and, subject to Section 6(d), such Investor will reimburse any legal or other expenses reasonably incurred by them in connection with investigating or defending any such Claim; provided, however, that the indemnity agreement contained in this Section 6(b) and the agreement with respect to contribution contained in Section 7 shall not apply to amounts paid in settlement of any Claim if such settlement is effected without the prior written consent of such Investor, which consent shall not be unreasonably withheld; provided, further, however, that the Investor shall be liable under this Section 6(b) for only that amount of a Claim or Indemnified Damages as does not exceed the net proceeds to such Investor as a result of the sale of Registrable Securities pursuant to such Registration Statement.  Such indemnity shall remain in full force and effect regardless of any investigation made by or on behalf of such Indemnified Party and shall survive the transfer of the Registrable Securities by the Investor pursuant to Section 9.  Notwithstanding anything to the contrary contained herein, the indemnification agreement contained in this Section 6(b) with respect to any prospectus shall not inure to the benefit of any Indemnified Party if the untrue statement or omission of material fact contained in the prospectus was corrected and such new prospectus was delivered to the Investor prior to the Investor’s use of the prospectus to which the Claim relates.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2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Promptly after receipt by an Indemnified Person or Indemnified Party under this Section 6 of notice of the commencement of any action or proceeding (including any governmental action or proceeding) involving a Claim, such Indemnified Person or Indemnified Party shall, if a Claim in respect thereof is to be made against any indemnifying party under this Section 6, deliver to the indemnifying party a written notice of the commencement thereof, and the indemnifying party shall have the right to participate in, and, to the extent the indemnifying party so desires, jointly with any other indemnifying party similarly noticed, to assume control of the defense thereof with counsel mutually satisfactory to the indemnifying party and the Indemnified Person or the Indemnified Party, as the case may be; provided, however, that an Indemnified Person or Indemnified Party shall have the right to retain its own counsel with the fees and expenses of not more than one (1) counsel for such Indemnified Person or Indemnified Party to be paid by the indemnifying party, if, in the reasonable opinion of counsel retained by the indemnifying party, the representation by such counsel of the Indemnified Person or Indemnified Party and the indemnifying party would be inappropriate due to actual or potential differing  interests between such Indemnified Person or Indemnified Party and any other party represented by such counsel in such proceeding.  The Indemnified Party or Indemnified Person shall cooperate fully with the indemnifying party in connection with any negotiation or defense of any such action or claim by the indemnifying party and shall furnish to the indemnifying party all information reasonably available to the Indemnified Party or Indemnified Person which relates to such action or claim.  The indemnifying party shall keep the Indemnified Party or Indemnified Person fully apprised at all times as to the status of the defense or any settlement negotiations with respect thereto.  No indemnifying party shall be liable for any settlement of any action, claim or proceeding effected without its prior written consent; provided, however, that the indemnifying party shall not unreasonably withhold, delay or condition its consent.  No indemnifying party shall, without the prior written consent of the Indemnified Party or Indemnified Person, consent to entry of any judgment or enter into any settlement or other compromise which does not include as an unconditional term thereof the giving by the claimant or plaintiff to such Indemnified Party or Indemnified Person of a release from all liability in respect to such claim or litigation.  Following indemnification as provided for hereunder, the indemnifying party shall be subrogated to all rights of the Indemnified Party or Indemnified Person with respect to all third parties, firms or corporations relating to the matter for which indemnification has been made.  The failure to deliver written notice to the indemnifying party within a reasonable time of the commencement of any such action shall not relieve such indemnifying party of any liability to the Indemnified Person or Indemnified Party under this Section 6, except to the extent that the indemnifying party is prejudiced in its ability to defend such 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2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The indemnification required by this Section 6 shall be made by periodic payments of the amount thereof during the course of the investigation or defense, as and when bills are received or Indemnified Damages are incurred.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2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The indemnity agreements contained herein shall be in addition to (i) any cause of action or similar right of the Indemnified Party or Indemnified Person against the indemnifying party or others, and (ii) any liabilities the indemnifying party may be subject to pursuant to the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5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CONTRIBUTION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8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the extent any indemnification by an indemnifying party is prohibited or limited by law, the indemnifying party agrees to make the maximum contribution with respect to any amounts for which it would otherwise be liable under Section 6 to the fullest extent permitted by law; provided, however, that:  (i) no seller of Registrable Securities guilty of fraudulent misrepresentation (within the meaning of Section 11(f) of the 1933 Act) shall be entitled to contribution from any seller of Registrable Securities who was not guilty of fraudulent misrepresentation; and (ii) contribution by any seller of Registrable Securities shall be limited in amount to the net amount of proceeds received by such seller from the sale of such Registrable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5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REPORTS UNDER THE 1934 ACT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8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a view to making available to the Investor the benefits of Rule 144 the Company agrees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2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make and keep public information available, as those terms are understood and defined in Rule 144;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2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file with the SEC in a timely manner all reports and other documents required of the Company under the 1933 Act and the 1934 Act so long as the Company remains subject to such requirements (it being understood that nothing herein shall limit the Company’s obligations under Section 4(c) of the Securities Purchase Agreement) and the filing of such reports and other documents as are required by the applicable provisions of Rule 144;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2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furnish to the Investor so long as the Investor owns Registrable Securities, promptly upon written request, (i) a written statement by the Company that it has complied with the public information requirements of Rule 144, the 1933 Act and the 1934 Act, (ii) a copy of the most recent annual or quarterly report of the Company and such other reports and documents so filed by the Company, and (iii) such other information as may be reasonably requested to permit the Investor to sell such securities pursuant to Rule 144(b)(1) without registration.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5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AMENDMENT OF REGISTRATION RIGHTS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8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Provisions of this Agreement may be amended and the observance thereof may be waived (either generally or in a particular instance and either retroactively or prospectively), only with the written consent of the Company and Investor.  Any amendment or waiver effected in accordance with this Section 9 shall be binding upon the Investor and the Company.  No such amendment shall be effective to the extent that it applies to fewer than all of the holders of the Registrable Securities.  No consideration shall be offered or paid to any Person to amend or consent to a waiver or modification of any provision of any of this Agreement unless the same consideration also is offered to all of the parties to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5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MISCELLANEOUS.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2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A Person is deemed to be a holder of Registrable Securities whenever such Person owns or is deemed to own of record such Registrable Securities.  If the Company receives conflicting instructions, notices or elections from two (2) or more Persons with respect to the same Registrable Securities, the Company shall act upon the basis of instructions, notice or election received from the registered owner of such Registrable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2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Any notices, consents, waivers or other communications required or permitted to be given under the terms of this Agreement must be in writing and will be deemed to have been delivered:  (i) upon receipt, when delivered personally; (ii) upon receipt, when sent by facsimile (provided confirmation of transmission is mechanically or electronically generated and kept on file by the sending party); or (iii) one (1) business day after deposit with a nationally recognized overnight delivery service, in each case properly addressed to the party to receive the same.  The addresses and facsimile numbers for such communications shall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to the Company, to:                           Man Shing Agricultural Holdings,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Unit 1005, 10/F, Tower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0" w:firstLine="8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Hunghom Commercial Centre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0" w:firstLine="8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 Ma Tau Wai Road, Hunghom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0" w:firstLine="8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Kowloon, Hong Kong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0" w:firstLine="8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  Mr. Eddie Cheung, CEO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Telephone  (86) 536-4644888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Facsimile:  (86) 536-4643777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a copy to:                                      Jared P. Febbroriello, Esq. LL.M.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0" w:firstLine="8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JPF Securities Law, LLC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0" w:firstLine="8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19720 Jetton Road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0" w:firstLine="8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3rd Floor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0" w:firstLine="8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Cornelius, NC 28031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0" w:firstLine="8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Telephone: (704) 897-8334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Facsimile:  (704) 897-8349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0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Mr. Patrick Mak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0" w:firstLine="8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Tai, Mak and Partners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0" w:firstLine="8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Room 905 - - 907, 9/F.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0" w:firstLine="8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Nan Fung Tower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0" w:firstLine="8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173 Des Voeux Road Central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0" w:firstLine="8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Hong Kong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Telephone: (852) 2850 6336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Facsimile: (852) 2850 6086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to the Investor, to:                             China Angel Assets Management Limited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0" w:firstLine="8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 Box 957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08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Offshore Incorporations Centre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08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Road Town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08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Tortola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08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British Virgin Islands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to Escrow Agent, to:                     Greentree Financial Group,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7951 S.W. 6</w:t>
      </w:r>
      <w:r w:rsidDel="00000000" w:rsidR="00000000" w:rsidRPr="00000000">
        <w:rPr>
          <w:rFonts w:ascii="Times New Roman" w:cs="Times New Roman" w:eastAsia="Times New Roman" w:hAnsi="Times New Roman"/>
          <w:sz w:val="16"/>
          <w:szCs w:val="16"/>
          <w:vertAlign w:val="baseline"/>
          <w:rtl w:val="0"/>
        </w:rPr>
        <w:t xml:space="preserve">th</w:t>
      </w:r>
      <w:r w:rsidDel="00000000" w:rsidR="00000000" w:rsidRPr="00000000">
        <w:rPr>
          <w:rFonts w:ascii="Times New Roman" w:cs="Times New Roman" w:eastAsia="Times New Roman" w:hAnsi="Times New Roman"/>
          <w:sz w:val="20"/>
          <w:szCs w:val="20"/>
          <w:rtl w:val="0"/>
        </w:rPr>
        <w:t xml:space="preserve"> Street, Suite 216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Plantation, FL 33324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 R. Chris Cottone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Telephone: (954) 424-2345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Facsimile: (954) 424-4420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 to such other address and/or facsimile number and/or to the attention of such other person as the recipient party has specified by written notice given to each other party five (5) days prior to the effectiveness of such change.  Written confirmation of receipt (A) given by the recipient of such notice, consent, waiver or other communication, (B) mechanically or electronically generated by the sender’s facsimile machine containing the time, date, recipient facsimile number and an image of the first page of such transmission or (C) provided by a courier or overnight courier service shall be rebuttable evidence of personal service, receipt by facsimile or receipt from a nationally recognized overnight delivery service in accordance with clause (i), (ii) or (iii) above, respectively.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20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Failure of any party to exercise any right or remedy under this Agreement or otherwise, or delay by a party in exercising such right or remedy, shall not operate as a waiver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20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The laws of the State of Nevada shall govern all issues concerning the relative rights of the Company and the Investor as its stockholders.  All other questions concerning the construction, validity, enforcement and interpretation of this Agreement shall be governed by the internal laws of the State of Nevada without giving effect to any choice of law or conflict of law provision or rule (whether of the State of Nevada or any other jurisdiction) that would cause the application of the laws of any jurisdiction other than the State of Nevada.  Each party hereby irrevocably submits to the non-exclusive jurisdiction of the State Courts of the State of Nevada sitting in Clark County, Nevada and federal courts for the District of Nevada for the adjudication of any dispute hereunder or in connection herewith or with any transaction contemplated hereby or discussed herein, and hereby irrevocably waives, and agrees not to assert in any suit, action or proceeding, any claim that it is not personally subject to the jurisdiction of any such court, that such suit, action or proceeding is brought in an inconvenient forum or that the venue of such suit, action or proceeding is improper.  Each party hereby irrevocably waives personal service of process and consents to process being served in any such suit, action or proceeding by mailing a copy thereof to such party at the address for such notices to it under this Agreement and agrees that such service shall constitute good and sufficient service of process and notice thereof.  Nothing contained herein shall be deemed to limit in any way any right to serve process in any manner permitted by law.  If any provision of this Agreement shall be invalid or unenforceable in any jurisdiction, such invalidity or unenforceability shall not affect the validity or enforceability of the remainder of this Agreement in that jurisdiction or the validity or enforceability of any provision of this Agreement in any other jurisdiction.  EACH PARTY HEREBY IRREVOCABLY WAIVES ANY RIGHT IT MAY HAVE, AND AGREES NOT TO REQUEST, A JURY TRIAL FOR THE ADJUDICATION OF ANY DISPUTE HEREUNDER OR IN CONNECTION HEREWITH OR ARISING OUT OF THIS AGREEMENT OR ANY TRANSACTION CONTEMPLATED 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2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This Agreement, the Irrevocable Transfer Agent Instructions, the Securities Purchase Agreement and related documents including the Convertible Debenture, the Pledge Agreement, the Investor Rights Agreement, the Escrow Agreement dated the date hereof by and among the Company, the Investor, and Greentree Financial Group, Inc. (the “</w:t>
      </w:r>
      <w:r w:rsidDel="00000000" w:rsidR="00000000" w:rsidRPr="00000000">
        <w:rPr>
          <w:rFonts w:ascii="Times New Roman" w:cs="Times New Roman" w:eastAsia="Times New Roman" w:hAnsi="Times New Roman"/>
          <w:sz w:val="20"/>
          <w:szCs w:val="20"/>
          <w:u w:val="single"/>
          <w:rtl w:val="0"/>
        </w:rPr>
        <w:t xml:space="preserve">Escrow Agreement</w:t>
      </w:r>
      <w:r w:rsidDel="00000000" w:rsidR="00000000" w:rsidRPr="00000000">
        <w:rPr>
          <w:rFonts w:ascii="Times New Roman" w:cs="Times New Roman" w:eastAsia="Times New Roman" w:hAnsi="Times New Roman"/>
          <w:sz w:val="20"/>
          <w:szCs w:val="20"/>
          <w:rtl w:val="0"/>
        </w:rPr>
        <w:t xml:space="preserve">”) and the Security Agreement dated the date hereof (the “</w:t>
      </w:r>
      <w:r w:rsidDel="00000000" w:rsidR="00000000" w:rsidRPr="00000000">
        <w:rPr>
          <w:rFonts w:ascii="Times New Roman" w:cs="Times New Roman" w:eastAsia="Times New Roman" w:hAnsi="Times New Roman"/>
          <w:sz w:val="20"/>
          <w:szCs w:val="20"/>
          <w:u w:val="single"/>
          <w:rtl w:val="0"/>
        </w:rPr>
        <w:t xml:space="preserve">Security Agreement</w:t>
      </w:r>
      <w:r w:rsidDel="00000000" w:rsidR="00000000" w:rsidRPr="00000000">
        <w:rPr>
          <w:rFonts w:ascii="Times New Roman" w:cs="Times New Roman" w:eastAsia="Times New Roman" w:hAnsi="Times New Roman"/>
          <w:sz w:val="20"/>
          <w:szCs w:val="20"/>
          <w:rtl w:val="0"/>
        </w:rPr>
        <w:t xml:space="preserve">”) constitute the entire agreement among the parties hereto with respect to the subject matter hereof and thereof.  There are no restrictions, promises, warranties or undertakings, other than those set forth or referred to herein and therein. This Agreement, the Irrevocable Transfer Agent Instructions, the Securities Purchase Agreement and related documents including the Convertible Debenture, the Pledge Agreement, the Investor Rights Agreement, the Escrow Agreement and the Security Agreement supersede all prior agreements and understandings among the parties hereto with respect to the subject matter hereof and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2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This Agreement shall inure to the benefit of and be binding upon the permitted successors and assigns of each of the parties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2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The headings in this Agreement are for convenience of reference only and shall not limit or otherwise affect the meaning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2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This Agreement may be executed in identical counterparts, each of which shall be deemed an original but all of which shall constitute one and the same agreement.  This Agreement, once executed by a party, may be delivered to the other party hereto by facsimile transmission of a copy of this Agreement bearing the signature of the party so delivering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2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Each party shall do and perform, or cause to be done and performed, all such further acts and things, and shall execute and deliver all such other agreements, certificates, instruments and documents, as the other party may reasonably request in order to carry out the intent and accomplish the purposes of this Agreement and the consummation of the transactions contemplated 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language used in this Agreement will be deemed to be the language chosen by the parties to express their mutual intent and no rules of strict construction will be applied against any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2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This Agreement is intended for the benefit of the parties hereto and their respective permitted successors and assigns, and is not for the benefit of, nor may any provision hereof be enforced by, any other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[REMAINDER OF PAGE INTENTIONALLY LEFT BLANK]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8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 WITNESS WHEREOF,</w:t>
      </w:r>
      <w:r w:rsidDel="00000000" w:rsidR="00000000" w:rsidRPr="00000000">
        <w:rPr>
          <w:rFonts w:ascii="Times New Roman" w:cs="Times New Roman" w:eastAsia="Times New Roman" w:hAnsi="Times New Roman"/>
          <w:sz w:val="20"/>
          <w:szCs w:val="20"/>
          <w:rtl w:val="0"/>
        </w:rPr>
        <w:t xml:space="preserve"> the parties have caused this Registration Rights Agreement to be duly executed as of day and year first above written.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
        <w:tblW w:w="7488.000000000001"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44.0000000000005"/>
        <w:gridCol w:w="3744.0000000000005"/>
        <w:tblGridChange w:id="0">
          <w:tblGrid>
            <w:gridCol w:w="3744.0000000000005"/>
            <w:gridCol w:w="3744.000000000000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COMPANY: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MAN SHING AGRICULTURAL HOLDINGS, INC.</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By:/s/ Eddie Cheung</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Eddie Cheung</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Chief Executive Officer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2"/>
        <w:tblW w:w="7488.000000000001"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44.0000000000005"/>
        <w:gridCol w:w="3744.0000000000005"/>
        <w:tblGridChange w:id="0">
          <w:tblGrid>
            <w:gridCol w:w="3744.0000000000005"/>
            <w:gridCol w:w="3744.000000000000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BUYER: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CHINA ANGEL ASSETS MANAGEMENT LIMITED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By: /s/ Jiang Qi Hang</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Jiang Qi Hang</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Chief Executive Officer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FORM OF NOTICE OF EFFECTIVENESS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OF REGISTRATION STATEMENT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3"/>
        <w:tblW w:w="9360.0" w:type="dxa"/>
        <w:jc w:val="left"/>
        <w:tblInd w:w="0.0" w:type="pct"/>
        <w:tblLayout w:type="fixed"/>
        <w:tblLook w:val="0600"/>
      </w:tblPr>
      <w:tblGrid>
        <w:gridCol w:w="720"/>
        <w:gridCol w:w="880"/>
        <w:gridCol w:w="7760"/>
        <w:tblGridChange w:id="0">
          <w:tblGrid>
            <w:gridCol w:w="720"/>
            <w:gridCol w:w="880"/>
            <w:gridCol w:w="77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Man Shing Agricultural Holdings, Inc.</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Ladies and Gentlemen: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8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are counsel to Man Shing Agricultural Holdings, Inc.</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a Nevada corpo</w:t>
      </w:r>
      <w:bookmarkStart w:colFirst="0" w:colLast="0" w:name="gjdgxs" w:id="0"/>
      <w:bookmarkEnd w:id="0"/>
      <w:r w:rsidDel="00000000" w:rsidR="00000000" w:rsidRPr="00000000">
        <w:rPr>
          <w:rFonts w:ascii="Times New Roman" w:cs="Times New Roman" w:eastAsia="Times New Roman" w:hAnsi="Times New Roman"/>
          <w:sz w:val="20"/>
          <w:szCs w:val="20"/>
          <w:rtl w:val="0"/>
        </w:rPr>
        <w:t xml:space="preserve">ration (the “</w:t>
      </w:r>
      <w:r w:rsidDel="00000000" w:rsidR="00000000" w:rsidRPr="00000000">
        <w:rPr>
          <w:rFonts w:ascii="Times New Roman" w:cs="Times New Roman" w:eastAsia="Times New Roman" w:hAnsi="Times New Roman"/>
          <w:sz w:val="20"/>
          <w:szCs w:val="20"/>
          <w:u w:val="single"/>
          <w:rtl w:val="0"/>
        </w:rPr>
        <w:t xml:space="preserve">Company</w:t>
      </w:r>
      <w:r w:rsidDel="00000000" w:rsidR="00000000" w:rsidRPr="00000000">
        <w:rPr>
          <w:rFonts w:ascii="Times New Roman" w:cs="Times New Roman" w:eastAsia="Times New Roman" w:hAnsi="Times New Roman"/>
          <w:sz w:val="20"/>
          <w:szCs w:val="20"/>
          <w:rtl w:val="0"/>
        </w:rPr>
        <w:t xml:space="preserve">”), and have represented the Company in connection with that certain Securities Purchase Agreement (the “</w:t>
      </w:r>
      <w:r w:rsidDel="00000000" w:rsidR="00000000" w:rsidRPr="00000000">
        <w:rPr>
          <w:rFonts w:ascii="Times New Roman" w:cs="Times New Roman" w:eastAsia="Times New Roman" w:hAnsi="Times New Roman"/>
          <w:sz w:val="20"/>
          <w:szCs w:val="20"/>
          <w:u w:val="single"/>
          <w:rtl w:val="0"/>
        </w:rPr>
        <w:t xml:space="preserve">Securities Purchase Agreement</w:t>
      </w:r>
      <w:r w:rsidDel="00000000" w:rsidR="00000000" w:rsidRPr="00000000">
        <w:rPr>
          <w:rFonts w:ascii="Times New Roman" w:cs="Times New Roman" w:eastAsia="Times New Roman" w:hAnsi="Times New Roman"/>
          <w:sz w:val="20"/>
          <w:szCs w:val="20"/>
          <w:rtl w:val="0"/>
        </w:rPr>
        <w:t xml:space="preserve">”) entered into by and among the Company and China Angel Assets Management Limited (the “</w:t>
      </w:r>
      <w:r w:rsidDel="00000000" w:rsidR="00000000" w:rsidRPr="00000000">
        <w:rPr>
          <w:rFonts w:ascii="Times New Roman" w:cs="Times New Roman" w:eastAsia="Times New Roman" w:hAnsi="Times New Roman"/>
          <w:sz w:val="20"/>
          <w:szCs w:val="20"/>
          <w:u w:val="single"/>
          <w:rtl w:val="0"/>
        </w:rPr>
        <w:t xml:space="preserve">Investor</w:t>
      </w:r>
      <w:r w:rsidDel="00000000" w:rsidR="00000000" w:rsidRPr="00000000">
        <w:rPr>
          <w:rFonts w:ascii="Times New Roman" w:cs="Times New Roman" w:eastAsia="Times New Roman" w:hAnsi="Times New Roman"/>
          <w:sz w:val="20"/>
          <w:szCs w:val="20"/>
          <w:rtl w:val="0"/>
        </w:rPr>
        <w:t xml:space="preserve">”) pursuant to which the Company issued to the Investor shares of its Common Stock, par value US$.001 per share (the “</w:t>
      </w:r>
      <w:r w:rsidDel="00000000" w:rsidR="00000000" w:rsidRPr="00000000">
        <w:rPr>
          <w:rFonts w:ascii="Times New Roman" w:cs="Times New Roman" w:eastAsia="Times New Roman" w:hAnsi="Times New Roman"/>
          <w:sz w:val="20"/>
          <w:szCs w:val="20"/>
          <w:u w:val="single"/>
          <w:rtl w:val="0"/>
        </w:rPr>
        <w:t xml:space="preserve">Common Stock</w:t>
      </w:r>
      <w:r w:rsidDel="00000000" w:rsidR="00000000" w:rsidRPr="00000000">
        <w:rPr>
          <w:rFonts w:ascii="Times New Roman" w:cs="Times New Roman" w:eastAsia="Times New Roman" w:hAnsi="Times New Roman"/>
          <w:sz w:val="20"/>
          <w:szCs w:val="20"/>
          <w:rtl w:val="0"/>
        </w:rPr>
        <w:t xml:space="preserve">”).  Pursuant to the Purchase Agreement, the Company also has entered into a Registration Rights Agreement with the Investor (the “</w:t>
      </w:r>
      <w:r w:rsidDel="00000000" w:rsidR="00000000" w:rsidRPr="00000000">
        <w:rPr>
          <w:rFonts w:ascii="Times New Roman" w:cs="Times New Roman" w:eastAsia="Times New Roman" w:hAnsi="Times New Roman"/>
          <w:sz w:val="20"/>
          <w:szCs w:val="20"/>
          <w:u w:val="single"/>
          <w:rtl w:val="0"/>
        </w:rPr>
        <w:t xml:space="preserve">Registration Rights Agreement</w:t>
      </w:r>
      <w:r w:rsidDel="00000000" w:rsidR="00000000" w:rsidRPr="00000000">
        <w:rPr>
          <w:rFonts w:ascii="Times New Roman" w:cs="Times New Roman" w:eastAsia="Times New Roman" w:hAnsi="Times New Roman"/>
          <w:sz w:val="20"/>
          <w:szCs w:val="20"/>
          <w:rtl w:val="0"/>
        </w:rPr>
        <w:t xml:space="preserve">”) pursuant to which the Company agreed, among other things, to register the Registrable Securities (as defined in the Registration Rights Agreement) under the Securities Act of 1933, as amended (the “</w:t>
      </w:r>
      <w:r w:rsidDel="00000000" w:rsidR="00000000" w:rsidRPr="00000000">
        <w:rPr>
          <w:rFonts w:ascii="Times New Roman" w:cs="Times New Roman" w:eastAsia="Times New Roman" w:hAnsi="Times New Roman"/>
          <w:sz w:val="20"/>
          <w:szCs w:val="20"/>
          <w:u w:val="single"/>
          <w:rtl w:val="0"/>
        </w:rPr>
        <w:t xml:space="preserve">1933 Act</w:t>
      </w:r>
      <w:r w:rsidDel="00000000" w:rsidR="00000000" w:rsidRPr="00000000">
        <w:rPr>
          <w:rFonts w:ascii="Times New Roman" w:cs="Times New Roman" w:eastAsia="Times New Roman" w:hAnsi="Times New Roman"/>
          <w:sz w:val="20"/>
          <w:szCs w:val="20"/>
          <w:rtl w:val="0"/>
        </w:rPr>
        <w:t xml:space="preserve">”).  In connection with the Company’s obligations under the Registration Rights Agreement, on January __, 2010 the Company filed a Registration Statement on Form S-1 (File No. 333-_____________) (the “</w:t>
      </w:r>
      <w:r w:rsidDel="00000000" w:rsidR="00000000" w:rsidRPr="00000000">
        <w:rPr>
          <w:rFonts w:ascii="Times New Roman" w:cs="Times New Roman" w:eastAsia="Times New Roman" w:hAnsi="Times New Roman"/>
          <w:sz w:val="20"/>
          <w:szCs w:val="20"/>
          <w:u w:val="single"/>
          <w:rtl w:val="0"/>
        </w:rPr>
        <w:t xml:space="preserve">Registration Statement</w:t>
      </w:r>
      <w:r w:rsidDel="00000000" w:rsidR="00000000" w:rsidRPr="00000000">
        <w:rPr>
          <w:rFonts w:ascii="Times New Roman" w:cs="Times New Roman" w:eastAsia="Times New Roman" w:hAnsi="Times New Roman"/>
          <w:sz w:val="20"/>
          <w:szCs w:val="20"/>
          <w:rtl w:val="0"/>
        </w:rPr>
        <w:t xml:space="preserve">”) with the Securities and Exchange SEC (the “</w:t>
      </w:r>
      <w:r w:rsidDel="00000000" w:rsidR="00000000" w:rsidRPr="00000000">
        <w:rPr>
          <w:rFonts w:ascii="Times New Roman" w:cs="Times New Roman" w:eastAsia="Times New Roman" w:hAnsi="Times New Roman"/>
          <w:sz w:val="20"/>
          <w:szCs w:val="20"/>
          <w:u w:val="single"/>
          <w:rtl w:val="0"/>
        </w:rPr>
        <w:t xml:space="preserve">SEC</w:t>
      </w:r>
      <w:r w:rsidDel="00000000" w:rsidR="00000000" w:rsidRPr="00000000">
        <w:rPr>
          <w:rFonts w:ascii="Times New Roman" w:cs="Times New Roman" w:eastAsia="Times New Roman" w:hAnsi="Times New Roman"/>
          <w:sz w:val="20"/>
          <w:szCs w:val="20"/>
          <w:rtl w:val="0"/>
        </w:rPr>
        <w:t xml:space="preserve">”) relating to the Registrable Securities which names each of the Investor as a selling stockholder there 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8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connection with the foregoing, we advise you that a member of the SEC’s staff has advised us by telephone that the SEC has entered an order declaring the Registration Statement effective under the 1933 Act at </w:t>
      </w:r>
      <w:r w:rsidDel="00000000" w:rsidR="00000000" w:rsidRPr="00000000">
        <w:rPr>
          <w:rFonts w:ascii="Times New Roman" w:cs="Times New Roman" w:eastAsia="Times New Roman" w:hAnsi="Times New Roman"/>
          <w:b w:val="1"/>
          <w:sz w:val="20"/>
          <w:szCs w:val="20"/>
          <w:rtl w:val="0"/>
        </w:rPr>
        <w:t xml:space="preserve">[ENTER TIME OF EFFECTIVENESS]</w:t>
      </w:r>
      <w:r w:rsidDel="00000000" w:rsidR="00000000" w:rsidRPr="00000000">
        <w:rPr>
          <w:rFonts w:ascii="Times New Roman" w:cs="Times New Roman" w:eastAsia="Times New Roman" w:hAnsi="Times New Roman"/>
          <w:sz w:val="20"/>
          <w:szCs w:val="20"/>
          <w:rtl w:val="0"/>
        </w:rPr>
        <w:t xml:space="preserve"> on </w:t>
      </w:r>
      <w:r w:rsidDel="00000000" w:rsidR="00000000" w:rsidRPr="00000000">
        <w:rPr>
          <w:rFonts w:ascii="Times New Roman" w:cs="Times New Roman" w:eastAsia="Times New Roman" w:hAnsi="Times New Roman"/>
          <w:b w:val="1"/>
          <w:sz w:val="20"/>
          <w:szCs w:val="20"/>
          <w:rtl w:val="0"/>
        </w:rPr>
        <w:t xml:space="preserve">[ENTER DATE OF EFFECTIVENESS]</w:t>
      </w:r>
      <w:r w:rsidDel="00000000" w:rsidR="00000000" w:rsidRPr="00000000">
        <w:rPr>
          <w:rFonts w:ascii="Times New Roman" w:cs="Times New Roman" w:eastAsia="Times New Roman" w:hAnsi="Times New Roman"/>
          <w:sz w:val="20"/>
          <w:szCs w:val="20"/>
          <w:rtl w:val="0"/>
        </w:rPr>
        <w:t xml:space="preserve"> and we have no knowledge, after telephonic inquiry of a member of the SEC’s staff, that any stop order suspending its effectiveness has been issued or that any proceedings for that purpose are pending before, or threatened by, the SEC and the Registrable Securities are available for resale under the 1933 Act pursuant to the Registration Statement.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40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Very truly yours,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740" w:firstLine="8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JPF SECURITIES LAW, LLC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740" w:firstLine="880"/>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By: Jared Febbroriello, Esq. LL.M.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Jared Febbroriello, Esq. LL.M.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Principal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cc: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