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Cascade Technologies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17,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Via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Spectral Molecular Imaging,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d/b/a Optical Molecular Imaging,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8591 Skyline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 90046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Dr. Daniel Farkas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No. 1 to Memorandum of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Relating to the Exchange of Shares for Certain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refer to the memorandum of agreement (the “</w:t>
      </w:r>
      <w:r w:rsidDel="00000000" w:rsidR="00000000" w:rsidRPr="00000000">
        <w:rPr>
          <w:rFonts w:ascii="times new roman" w:cs="times new roman" w:eastAsia="times new roman" w:hAnsi="times new roman"/>
          <w:sz w:val="20"/>
          <w:szCs w:val="20"/>
          <w:u w:val="single"/>
          <w:rtl w:val="0"/>
        </w:rPr>
        <w:t xml:space="preserve">Memorandum of Agreement</w:t>
      </w:r>
      <w:r w:rsidDel="00000000" w:rsidR="00000000" w:rsidRPr="00000000">
        <w:rPr>
          <w:rFonts w:ascii="times new roman" w:cs="times new roman" w:eastAsia="times new roman" w:hAnsi="times new roman"/>
          <w:sz w:val="20"/>
          <w:szCs w:val="20"/>
          <w:rtl w:val="0"/>
        </w:rPr>
        <w:t xml:space="preserve">”) dated December 11, 2009 between Cascade Technologies Corp, a Wyoming corporation (“</w:t>
      </w:r>
      <w:r w:rsidDel="00000000" w:rsidR="00000000" w:rsidRPr="00000000">
        <w:rPr>
          <w:rFonts w:ascii="times new roman" w:cs="times new roman" w:eastAsia="times new roman" w:hAnsi="times new roman"/>
          <w:sz w:val="20"/>
          <w:szCs w:val="20"/>
          <w:u w:val="single"/>
          <w:rtl w:val="0"/>
        </w:rPr>
        <w:t xml:space="preserve">Cascade</w:t>
      </w:r>
      <w:r w:rsidDel="00000000" w:rsidR="00000000" w:rsidRPr="00000000">
        <w:rPr>
          <w:rFonts w:ascii="times new roman" w:cs="times new roman" w:eastAsia="times new roman" w:hAnsi="times new roman"/>
          <w:sz w:val="20"/>
          <w:szCs w:val="20"/>
          <w:rtl w:val="0"/>
        </w:rPr>
        <w:t xml:space="preserve">”) and Spectral Molecular Imaging, Inc., a Nevada corporation which does business as Optical Molecular Imaging, Inc. (“</w:t>
      </w:r>
      <w:r w:rsidDel="00000000" w:rsidR="00000000" w:rsidRPr="00000000">
        <w:rPr>
          <w:rFonts w:ascii="times new roman" w:cs="times new roman" w:eastAsia="times new roman" w:hAnsi="times new roman"/>
          <w:sz w:val="20"/>
          <w:szCs w:val="20"/>
          <w:u w:val="single"/>
          <w:rtl w:val="0"/>
        </w:rPr>
        <w:t xml:space="preserve">Optical</w:t>
      </w:r>
      <w:r w:rsidDel="00000000" w:rsidR="00000000" w:rsidRPr="00000000">
        <w:rPr>
          <w:rFonts w:ascii="times new roman" w:cs="times new roman" w:eastAsia="times new roman" w:hAnsi="times new roman"/>
          <w:sz w:val="20"/>
          <w:szCs w:val="20"/>
          <w:rtl w:val="0"/>
        </w:rPr>
        <w:t xml:space="preserve">”), relating to certain agreements among Cascade, Optical, and the principal shareholders of Optical.  Terms used but not defined in this letter shall have the meanings, if any, ascribed thereto in the Memorandum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letter is to memorialize certain agreed amendments of the parties to provisions of the Memorandum of Agreement.  The parties hereby confirm and agree to the following amendments and otherwise confirm and reaffirm the Memorandum of Agreement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agreed to use our mutual commercially reasonable best efforts to negotiate, sign, and deliver definitive agreements approved by our respective Boards of Directors which will set forth in detail our agreed transactions, upon the following principal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Paragraph 3.1 of the Memorandum of Agreement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consummation of the Exchange and the Financing, and after taking into account (a) the cancelation (the “</w:t>
            </w:r>
            <w:r w:rsidDel="00000000" w:rsidR="00000000" w:rsidRPr="00000000">
              <w:rPr>
                <w:rFonts w:ascii="times new roman" w:cs="times new roman" w:eastAsia="times new roman" w:hAnsi="times new roman"/>
                <w:sz w:val="20"/>
                <w:szCs w:val="20"/>
                <w:u w:val="single"/>
                <w:rtl w:val="0"/>
              </w:rPr>
              <w:t xml:space="preserve">Cancelation</w:t>
            </w:r>
            <w:r w:rsidDel="00000000" w:rsidR="00000000" w:rsidRPr="00000000">
              <w:rPr>
                <w:rFonts w:ascii="times new roman" w:cs="times new roman" w:eastAsia="times new roman" w:hAnsi="times new roman"/>
                <w:sz w:val="20"/>
                <w:szCs w:val="20"/>
                <w:rtl w:val="0"/>
              </w:rPr>
              <w:t xml:space="preserve">”) of 142,110,816 shares of restricted Common Stock presently outstanding and held by the principal shareholder of Cascade (which such Cancelation shall be deemed to include any shares of Common Stock that may be issued in respect of such 142,110,816 shares on account of the Split (as hereafter defined), (b) a 3.64-for-one stock split or a 2.64 share dividend per share (as applicable, the “</w:t>
            </w:r>
            <w:r w:rsidDel="00000000" w:rsidR="00000000" w:rsidRPr="00000000">
              <w:rPr>
                <w:rFonts w:ascii="times new roman" w:cs="times new roman" w:eastAsia="times new roman" w:hAnsi="times new roman"/>
                <w:sz w:val="20"/>
                <w:szCs w:val="20"/>
                <w:u w:val="single"/>
                <w:rtl w:val="0"/>
              </w:rPr>
              <w:t xml:space="preserve">Split</w:t>
            </w:r>
            <w:r w:rsidDel="00000000" w:rsidR="00000000" w:rsidRPr="00000000">
              <w:rPr>
                <w:rFonts w:ascii="times new roman" w:cs="times new roman" w:eastAsia="times new roman" w:hAnsi="times new roman"/>
                <w:sz w:val="20"/>
                <w:szCs w:val="20"/>
                <w:rtl w:val="0"/>
              </w:rPr>
              <w:t xml:space="preserve">”) to be implemented by Cascade, (c) the issuance by Cascade to Optical of the 10,000,000 shares of Common Stock (the “</w:t>
            </w:r>
            <w:r w:rsidDel="00000000" w:rsidR="00000000" w:rsidRPr="00000000">
              <w:rPr>
                <w:rFonts w:ascii="times new roman" w:cs="times new roman" w:eastAsia="times new roman" w:hAnsi="times new roman"/>
                <w:sz w:val="20"/>
                <w:szCs w:val="20"/>
                <w:u w:val="single"/>
                <w:rtl w:val="0"/>
              </w:rPr>
              <w:t xml:space="preserve">Common Issuance</w:t>
            </w:r>
            <w:r w:rsidDel="00000000" w:rsidR="00000000" w:rsidRPr="00000000">
              <w:rPr>
                <w:rFonts w:ascii="times new roman" w:cs="times new roman" w:eastAsia="times new roman" w:hAnsi="times new roman"/>
                <w:sz w:val="20"/>
                <w:szCs w:val="20"/>
                <w:rtl w:val="0"/>
              </w:rPr>
              <w:t xml:space="preserve">”), (d) the issuance by Cascade to Optical of the 10,000,000 shares of Series A Preferred (the “</w:t>
            </w:r>
            <w:r w:rsidDel="00000000" w:rsidR="00000000" w:rsidRPr="00000000">
              <w:rPr>
                <w:rFonts w:ascii="times new roman" w:cs="times new roman" w:eastAsia="times new roman" w:hAnsi="times new roman"/>
                <w:sz w:val="20"/>
                <w:szCs w:val="20"/>
                <w:u w:val="single"/>
                <w:rtl w:val="0"/>
              </w:rPr>
              <w:t xml:space="preserve">Series A Issuance</w:t>
            </w:r>
            <w:r w:rsidDel="00000000" w:rsidR="00000000" w:rsidRPr="00000000">
              <w:rPr>
                <w:rFonts w:ascii="times new roman" w:cs="times new roman" w:eastAsia="times new roman" w:hAnsi="times new roman"/>
                <w:sz w:val="20"/>
                <w:szCs w:val="20"/>
                <w:rtl w:val="0"/>
              </w:rPr>
              <w:t xml:space="preserve">”), and (e) the issuance by Cascade of the not less than 2,000,000 shares of Series B Preferred (the “</w:t>
            </w:r>
            <w:r w:rsidDel="00000000" w:rsidR="00000000" w:rsidRPr="00000000">
              <w:rPr>
                <w:rFonts w:ascii="times new roman" w:cs="times new roman" w:eastAsia="times new roman" w:hAnsi="times new roman"/>
                <w:sz w:val="20"/>
                <w:szCs w:val="20"/>
                <w:u w:val="single"/>
                <w:rtl w:val="0"/>
              </w:rPr>
              <w:t xml:space="preserve">Series B Exchange</w:t>
            </w:r>
            <w:r w:rsidDel="00000000" w:rsidR="00000000" w:rsidRPr="00000000">
              <w:rPr>
                <w:rFonts w:ascii="times new roman" w:cs="times new roman" w:eastAsia="times new roman" w:hAnsi="times new roman"/>
                <w:sz w:val="20"/>
                <w:szCs w:val="20"/>
                <w:rtl w:val="0"/>
              </w:rPr>
              <w:t xml:space="preserve">”) contemplated in the Financing, the Capitalization of Cascade shall be as set forth in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hereto.  Unless the context otherwise requires, all computations in this memorandum of agreement assume and give effect to the Exchange, the Financing, the Cancelation, the Split, the Common Issuance, the Series A Issuance, and the Series B Exchange.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Paragraph 5.1.2 of the Memorandum of Agreement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omitted.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Paragraph 5.2 of the Memorandum of Agreement is hereby amended by adding therein a new paragraph 5.2.10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 shall consummate the Cancelation.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and the Memorandum of Agreement amended and reaffirmed hereby evidence the agreement and understanding of the parties hereto and are intended to be legally binding.  The transactions contemplated herein and therein may be terminated only as provided in the Memorandum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may be executed in any number of counterparts and each such counterpart shall be deemed to be an original instrument, but all of such counterparts together shall constitute but one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foregoing correctly sets forth the agreement and understanding of the parties, please execute this letter in duplicate as provided below, retain one copy for your records, and return one to the undersigned, whereupon this will be a binding agreement among the parties hereto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 Technologies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Jacqueline Danforth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Chief Financial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1530 9th Avenue 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Calgary, Alberta T2G 0T7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jdanforth@isgsecurities.com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and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Spectral Molecular Imaging,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L. Farkas Ph.D.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8591 Skyline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 90046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dlfarkas@gmail.com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