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AMENDMENT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dated as of January 11, 2010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is entered into by and among </w:t>
      </w:r>
      <w:r w:rsidDel="00000000" w:rsidR="00000000" w:rsidRPr="00000000">
        <w:rPr>
          <w:rFonts w:ascii="Times New Roman" w:cs="Times New Roman" w:eastAsia="Times New Roman" w:hAnsi="Times New Roman"/>
          <w:b w:val="1"/>
          <w:sz w:val="20"/>
          <w:szCs w:val="20"/>
          <w:rtl w:val="0"/>
        </w:rPr>
        <w:t xml:space="preserve">QUIKSILVER AMERICAS, INC.</w:t>
      </w:r>
      <w:r w:rsidDel="00000000" w:rsidR="00000000" w:rsidRPr="00000000">
        <w:rPr>
          <w:rFonts w:ascii="Times New Roman" w:cs="Times New Roman" w:eastAsia="Times New Roman" w:hAnsi="Times New Roman"/>
          <w:sz w:val="20"/>
          <w:szCs w:val="20"/>
          <w:rtl w:val="0"/>
        </w:rPr>
        <w:t xml:space="preserve">, a California corporation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QUIKSILVER, INC.</w:t>
      </w:r>
      <w:r w:rsidDel="00000000" w:rsidR="00000000" w:rsidRPr="00000000">
        <w:rPr>
          <w:rFonts w:ascii="Times New Roman" w:cs="Times New Roman" w:eastAsia="Times New Roman" w:hAnsi="Times New Roman"/>
          <w:sz w:val="20"/>
          <w:szCs w:val="20"/>
          <w:rtl w:val="0"/>
        </w:rPr>
        <w:t xml:space="preserve">, a Delaware corporation (the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each lender from time to time a party hereto (collectively, the “</w:t>
      </w: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 and individually,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RHÔNE GROUP L.L.C.</w:t>
      </w:r>
      <w:r w:rsidDel="00000000" w:rsidR="00000000" w:rsidRPr="00000000">
        <w:rPr>
          <w:rFonts w:ascii="Times New Roman" w:cs="Times New Roman" w:eastAsia="Times New Roman" w:hAnsi="Times New Roman"/>
          <w:sz w:val="20"/>
          <w:szCs w:val="20"/>
          <w:rtl w:val="0"/>
        </w:rPr>
        <w:t xml:space="preserve">, as administrative agent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under that certain Credit Agreement dated as of July 31, 2009 (as otherwise amended, amended and restated, supplemented or otherwise modified from time to time,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among the Borrower, the Parent, the Lenders and the Administrative Agent. Capitalized terms used herein not otherwise defined herein or otherwise amended hereby shall have the meanings ascribed thereto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parties hereto desire to amend the Credit Agreement on the terms, and subject to the conditions, set forth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pursuant to </w:t>
      </w:r>
      <w:r w:rsidDel="00000000" w:rsidR="00000000" w:rsidRPr="00000000">
        <w:rPr>
          <w:rFonts w:ascii="Times New Roman" w:cs="Times New Roman" w:eastAsia="Times New Roman" w:hAnsi="Times New Roman"/>
          <w:sz w:val="20"/>
          <w:szCs w:val="20"/>
          <w:u w:val="single"/>
          <w:rtl w:val="0"/>
        </w:rPr>
        <w:t xml:space="preserve">Section 10.01</w:t>
      </w:r>
      <w:r w:rsidDel="00000000" w:rsidR="00000000" w:rsidRPr="00000000">
        <w:rPr>
          <w:rFonts w:ascii="Times New Roman" w:cs="Times New Roman" w:eastAsia="Times New Roman" w:hAnsi="Times New Roman"/>
          <w:sz w:val="20"/>
          <w:szCs w:val="20"/>
          <w:rtl w:val="0"/>
        </w:rPr>
        <w:t xml:space="preserve"> of the Credit Agreement, no amendment or waiver of any provision of the Credit Agreement, nor Consent to any departure by any Loan Party therefrom, shall be effective unless in writing signed by the Required Lenders (or the Administrative Agent, with the Consent of the Required Lenders), and the Borrower or the applicable Loan Party,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Borrower has requested that the Administrative Agent and the Lenders approve the amendment set forth in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agreements, provisions and covenants herein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Effective Date, the Credit Agreement shall be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definition of “Americas Consolidated EBITDA” set forth in Section 1.01 of the Credit Agreement shall be amended by adding at the end of clause (b) thereof the phrase “,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measuring Americas Consolidated EBITDA under </w:t>
      </w:r>
      <w:r w:rsidDel="00000000" w:rsidR="00000000" w:rsidRPr="00000000">
        <w:rPr>
          <w:rFonts w:ascii="Times New Roman" w:cs="Times New Roman" w:eastAsia="Times New Roman" w:hAnsi="Times New Roman"/>
          <w:sz w:val="20"/>
          <w:szCs w:val="20"/>
          <w:u w:val="single"/>
          <w:rtl w:val="0"/>
        </w:rPr>
        <w:t xml:space="preserve">Section 7.14(a)</w:t>
      </w:r>
      <w:r w:rsidDel="00000000" w:rsidR="00000000" w:rsidRPr="00000000">
        <w:rPr>
          <w:rFonts w:ascii="Times New Roman" w:cs="Times New Roman" w:eastAsia="Times New Roman" w:hAnsi="Times New Roman"/>
          <w:sz w:val="20"/>
          <w:szCs w:val="20"/>
          <w:rtl w:val="0"/>
        </w:rPr>
        <w:t xml:space="preserve"> for the Measurement Period ending January 31, 2010 (and, for the avoidance of doubt, not for purposes of measuring Americas Consolidated EBITDA with respect to any other Measurement Period), Americas Consolidated EBITDA shall be reduced by such cash payments only to the extent they exceed $3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parties hereto hereby represents and warrants that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this Amendment has been duly authorized, executed and delivered by 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this Amendment and the Credit Agreement, as amended hereby, constitute legal, valid and binding obligations, enforceable against it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execution, delivery and performance of this Amendment and the Credit Agreement, as amended hereby, will not conflict with or result in a breach of, or require any consent under, the charter or by-laws or other constitutive document of it, or any applicable law or regulation, or any order, writ, injunction, or decree of any Governmental Authority or arbitral panel, or any agreement or instrument to which the Borrower, Parent or any of their Subsidiaries is a party or by which any of them or any of their property is bound or to which any of them is subject, or constitute a default under any such agreement or instrument, or (except for Liens created in accordance with the Security Documents and the other Loan Documents) result in the creation or imposition of any Lien upon any property of the Borrower, Parent or any of their Subsidiaries pursuant to the terms of any such agreement or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Reference to and Effect on the Existing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specifically amended by this Amendment, the Credit Agreement and the other Loan Documents relating thereto shall remain in full force and effect and are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execution, delivery and performance of this Amendment shall not, except as expressly provided herein, constitute a waiver of any provision of, or operate as a waiver of any right, power or remedy of the Administrative Agent or the Lenders under, the Credit Agreement or any of the other Loan Documents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and subsection headings in this Amendment are included herein for convenience of reference only and shall not constitute a part of this Amendment for any other purpose or be given any substantive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may be executed in any number of counterparts and by different parties hereto in separate counterparts, each of which when so executed and delivered shall be deemed an original, but all such counterparts together shall constitute but one and the same instrument; signature pages may be detached from multiple separate counterparts and attached to a single counterpart so that all signature pages are physically attached to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Amendment to be duly executed and delivered by their respective officers thereunto duly authorized as of the date first written above.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QUIKSILVER AMERICAS, INC.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Borrower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QUIKSILVER, INC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Guarantor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RHÔNE GROUP L.L.C.</w:t>
            </w:r>
            <w:r w:rsidDel="00000000" w:rsidR="00000000" w:rsidRPr="00000000">
              <w:rPr>
                <w:rFonts w:ascii="Times New Roman" w:cs="Times New Roman" w:eastAsia="Times New Roman" w:hAnsi="Times New Roman"/>
                <w:sz w:val="20"/>
                <w:szCs w:val="20"/>
                <w:rtl w:val="0"/>
              </w:rPr>
              <w:t xml:space="preserve">, as Administrative Agent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ROMOLO HOLDINGS C.V.</w:t>
            </w:r>
            <w:r w:rsidDel="00000000" w:rsidR="00000000" w:rsidRPr="00000000">
              <w:rPr>
                <w:rFonts w:ascii="Times New Roman" w:cs="Times New Roman" w:eastAsia="Times New Roman" w:hAnsi="Times New Roman"/>
                <w:sz w:val="20"/>
                <w:szCs w:val="20"/>
                <w:rtl w:val="0"/>
              </w:rPr>
              <w:t xml:space="preserve">, as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SPV L.P.</w:t>
            </w:r>
            <w:r w:rsidDel="00000000" w:rsidR="00000000" w:rsidRPr="00000000">
              <w:rPr>
                <w:rFonts w:ascii="Times New Roman" w:cs="Times New Roman" w:eastAsia="Times New Roman" w:hAnsi="Times New Roman"/>
                <w:sz w:val="20"/>
                <w:szCs w:val="20"/>
                <w:rtl w:val="0"/>
              </w:rPr>
              <w:t xml:space="preserve">, as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Triton GP SPV LLC, as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ONSHORE SPV L.P.</w:t>
            </w:r>
            <w:r w:rsidDel="00000000" w:rsidR="00000000" w:rsidRPr="00000000">
              <w:rPr>
                <w:rFonts w:ascii="Times New Roman" w:cs="Times New Roman" w:eastAsia="Times New Roman" w:hAnsi="Times New Roman"/>
                <w:sz w:val="20"/>
                <w:szCs w:val="20"/>
                <w:rtl w:val="0"/>
              </w:rPr>
              <w:t xml:space="preserve">, as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Triton GP SPV LLC, as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OFFSHORE SPV L.P.</w:t>
            </w:r>
            <w:r w:rsidDel="00000000" w:rsidR="00000000" w:rsidRPr="00000000">
              <w:rPr>
                <w:rFonts w:ascii="Times New Roman" w:cs="Times New Roman" w:eastAsia="Times New Roman" w:hAnsi="Times New Roman"/>
                <w:sz w:val="20"/>
                <w:szCs w:val="20"/>
                <w:rtl w:val="0"/>
              </w:rPr>
              <w:t xml:space="preserve">, as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Triton GP SPV LLC, as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TRITON COINVESTMENT SPV L.P.</w:t>
            </w:r>
            <w:r w:rsidDel="00000000" w:rsidR="00000000" w:rsidRPr="00000000">
              <w:rPr>
                <w:rFonts w:ascii="Times New Roman" w:cs="Times New Roman" w:eastAsia="Times New Roman" w:hAnsi="Times New Roman"/>
                <w:sz w:val="20"/>
                <w:szCs w:val="20"/>
                <w:rtl w:val="0"/>
              </w:rPr>
              <w:t xml:space="preserve">, as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Triton GP SPV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