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Exhibit 10.33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Dated as of October 26,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THIS AMENDMENT NO. 8 (“</w:t>
      </w:r>
      <w:r w:rsidDel="00000000" w:rsidR="00000000" w:rsidRPr="00000000">
        <w:rPr>
          <w:rFonts w:ascii="Verdana" w:cs="Verdana" w:eastAsia="Verdana" w:hAnsi="Verdana"/>
          <w:sz w:val="20"/>
          <w:szCs w:val="20"/>
          <w:u w:val="single"/>
          <w:rtl w:val="0"/>
        </w:rPr>
        <w:t xml:space="preserve">Amendment</w:t>
      </w:r>
      <w:r w:rsidDel="00000000" w:rsidR="00000000" w:rsidRPr="00000000">
        <w:rPr>
          <w:rFonts w:ascii="Verdana" w:cs="Verdana" w:eastAsia="Verdana" w:hAnsi="Verdana"/>
          <w:sz w:val="20"/>
          <w:szCs w:val="20"/>
          <w:rtl w:val="0"/>
        </w:rPr>
        <w:t xml:space="preserve">”) is made as of October 26, 2009 by and among Photronics, Inc. (the “</w:t>
      </w:r>
      <w:r w:rsidDel="00000000" w:rsidR="00000000" w:rsidRPr="00000000">
        <w:rPr>
          <w:rFonts w:ascii="Verdana" w:cs="Verdana" w:eastAsia="Verdana" w:hAnsi="Verdana"/>
          <w:sz w:val="20"/>
          <w:szCs w:val="20"/>
          <w:u w:val="single"/>
          <w:rtl w:val="0"/>
        </w:rPr>
        <w:t xml:space="preserve">Company</w:t>
      </w:r>
      <w:r w:rsidDel="00000000" w:rsidR="00000000" w:rsidRPr="00000000">
        <w:rPr>
          <w:rFonts w:ascii="Verdana" w:cs="Verdana" w:eastAsia="Verdana" w:hAnsi="Verdana"/>
          <w:sz w:val="20"/>
          <w:szCs w:val="20"/>
          <w:rtl w:val="0"/>
        </w:rPr>
        <w:t xml:space="preserve">”), the financial institutions listed on the signature pages hereof and JPMorgan Chase Bank, National Association, as Administrative Agent (in such capacity, the “</w:t>
      </w:r>
      <w:r w:rsidDel="00000000" w:rsidR="00000000" w:rsidRPr="00000000">
        <w:rPr>
          <w:rFonts w:ascii="Verdana" w:cs="Verdana" w:eastAsia="Verdana" w:hAnsi="Verdana"/>
          <w:sz w:val="20"/>
          <w:szCs w:val="20"/>
          <w:u w:val="single"/>
          <w:rtl w:val="0"/>
        </w:rPr>
        <w:t xml:space="preserve">Administrative Agent</w:t>
      </w:r>
      <w:r w:rsidDel="00000000" w:rsidR="00000000" w:rsidRPr="00000000">
        <w:rPr>
          <w:rFonts w:ascii="Verdana" w:cs="Verdana" w:eastAsia="Verdana" w:hAnsi="Verdana"/>
          <w:sz w:val="20"/>
          <w:szCs w:val="20"/>
          <w:rtl w:val="0"/>
        </w:rPr>
        <w:t xml:space="preserve">”) and as Collateral Agent (in such capacity, the “</w:t>
      </w:r>
      <w:r w:rsidDel="00000000" w:rsidR="00000000" w:rsidRPr="00000000">
        <w:rPr>
          <w:rFonts w:ascii="Verdana" w:cs="Verdana" w:eastAsia="Verdana" w:hAnsi="Verdana"/>
          <w:sz w:val="20"/>
          <w:szCs w:val="20"/>
          <w:u w:val="single"/>
          <w:rtl w:val="0"/>
        </w:rPr>
        <w:t xml:space="preserve">Collateral Agent</w:t>
      </w:r>
      <w:r w:rsidDel="00000000" w:rsidR="00000000" w:rsidRPr="00000000">
        <w:rPr>
          <w:rFonts w:ascii="Verdana" w:cs="Verdana" w:eastAsia="Verdana" w:hAnsi="Verdana"/>
          <w:sz w:val="20"/>
          <w:szCs w:val="20"/>
          <w:rtl w:val="0"/>
        </w:rPr>
        <w:t xml:space="preserve">”), under that certain Credit Agreement dated as of June 6, 2007 by and among the Company, the Lenders and the Administrative Agent (as amended by that certain Amendment No. 1 thereto, dated as of April 25, 2008, that certain Amendment No. 2 thereto, dated as of October 31, 2008, that certain Amendment No. 3 thereto, dated as of December 3, 2008, that certain Amendment No. 4 thereto, dated as of December 12, 2008, that certain Amendment No. 5 thereto, dated as of May 15, 2009, that certain Amendment No. 6 thereto, dated as of June 8, 2009, and that certain Amendment No. 7 thereto, dated as of September 2, 2009, and as may be further amended, supplemented or otherwise modified from time to time, the “</w:t>
      </w:r>
      <w:r w:rsidDel="00000000" w:rsidR="00000000" w:rsidRPr="00000000">
        <w:rPr>
          <w:rFonts w:ascii="Verdana" w:cs="Verdana" w:eastAsia="Verdana" w:hAnsi="Verdana"/>
          <w:sz w:val="20"/>
          <w:szCs w:val="20"/>
          <w:u w:val="single"/>
          <w:rtl w:val="0"/>
        </w:rPr>
        <w:t xml:space="preserve">Credit Agreement</w:t>
      </w:r>
      <w:r w:rsidDel="00000000" w:rsidR="00000000" w:rsidRPr="00000000">
        <w:rPr>
          <w:rFonts w:ascii="Verdana" w:cs="Verdana" w:eastAsia="Verdana" w:hAnsi="Verdana"/>
          <w:sz w:val="20"/>
          <w:szCs w:val="20"/>
          <w:rtl w:val="0"/>
        </w:rPr>
        <w:t xml:space="preserve">”). Capitalized terms used herein and not otherwise defined herein shall have the respective meanings given to them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WHEREAS, the Company has requested that the Lenders, the Administrative Agent and the Collateral Agent agree to certain amendments to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WHEREAS, the Lenders party hereto, the Administrative Agent and the Collateral Agent have agreed to such amendments on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NOW, THEREFORE, in consideration of the premises set forth above, the terms and conditions contained herein, and other good and valuable consideration, the receipt and sufficiency of which are hereby acknowledged, the Company, the Lenders party hereto, the Administrative Agent and the Collateral Agent have agreed to enter into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1.</w:t>
      </w:r>
      <w:r w:rsidDel="00000000" w:rsidR="00000000" w:rsidRPr="00000000">
        <w:rPr>
          <w:rtl w:val="0"/>
        </w:rPr>
        <w:t xml:space="preserve"> </w:t>
      </w:r>
      <w:r w:rsidDel="00000000" w:rsidR="00000000" w:rsidRPr="00000000">
        <w:rPr>
          <w:rFonts w:ascii="Verdana" w:cs="Verdana" w:eastAsia="Verdana" w:hAnsi="Verdana"/>
          <w:sz w:val="20"/>
          <w:szCs w:val="20"/>
          <w:u w:val="single"/>
          <w:rtl w:val="0"/>
        </w:rPr>
        <w:t xml:space="preserve">Amendments to Credit Agreement</w:t>
      </w:r>
      <w:r w:rsidDel="00000000" w:rsidR="00000000" w:rsidRPr="00000000">
        <w:rPr>
          <w:rFonts w:ascii="Verdana" w:cs="Verdana" w:eastAsia="Verdana" w:hAnsi="Verdana"/>
          <w:sz w:val="20"/>
          <w:szCs w:val="20"/>
          <w:rtl w:val="0"/>
        </w:rPr>
        <w:t xml:space="preserve">. Effective as of the date of satisfaction of the conditions precedent set forth in </w:t>
      </w:r>
      <w:r w:rsidDel="00000000" w:rsidR="00000000" w:rsidRPr="00000000">
        <w:rPr>
          <w:rFonts w:ascii="Verdana" w:cs="Verdana" w:eastAsia="Verdana" w:hAnsi="Verdana"/>
          <w:sz w:val="20"/>
          <w:szCs w:val="20"/>
          <w:u w:val="single"/>
          <w:rtl w:val="0"/>
        </w:rPr>
        <w:t xml:space="preserve">Section 2</w:t>
      </w:r>
      <w:r w:rsidDel="00000000" w:rsidR="00000000" w:rsidRPr="00000000">
        <w:rPr>
          <w:rFonts w:ascii="Verdana" w:cs="Verdana" w:eastAsia="Verdana" w:hAnsi="Verdana"/>
          <w:sz w:val="20"/>
          <w:szCs w:val="20"/>
          <w:rtl w:val="0"/>
        </w:rPr>
        <w:t xml:space="preserve"> below, Section 2.11(c) of the Credit Agreement is amended to add the parenthetical “(provided, however, that in the case of any Net Proceeds received in connection with the Chinese Facility Sale, within three (3) Business Days after approval by the State Administration of Foreign Exchange of the People’s Republic of China that the Company may repatriate such Net Proceeds to the United States of America)” immediately after the phrase “within three (3) Business Days after such net Proceeds are received by the Company or any Subsidiary” appearing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2.</w:t>
      </w:r>
      <w:r w:rsidDel="00000000" w:rsidR="00000000" w:rsidRPr="00000000">
        <w:rPr>
          <w:rtl w:val="0"/>
        </w:rPr>
        <w:t xml:space="preserve"> </w:t>
      </w:r>
      <w:r w:rsidDel="00000000" w:rsidR="00000000" w:rsidRPr="00000000">
        <w:rPr>
          <w:rFonts w:ascii="Verdana" w:cs="Verdana" w:eastAsia="Verdana" w:hAnsi="Verdana"/>
          <w:sz w:val="20"/>
          <w:szCs w:val="20"/>
          <w:u w:val="single"/>
          <w:rtl w:val="0"/>
        </w:rPr>
        <w:t xml:space="preserve">Conditions of Effectiveness</w:t>
      </w:r>
      <w:r w:rsidDel="00000000" w:rsidR="00000000" w:rsidRPr="00000000">
        <w:rPr>
          <w:rFonts w:ascii="Verdana" w:cs="Verdana" w:eastAsia="Verdana" w:hAnsi="Verdana"/>
          <w:sz w:val="20"/>
          <w:szCs w:val="20"/>
          <w:rtl w:val="0"/>
        </w:rPr>
        <w:t xml:space="preserve">. The effectiveness of this Amendment is subject to the conditions precedent that the Administrative Agent shall have received counterparts of this Amendment duly executed by the Company, the Required Lenders and the Administrative Agent and the Consent and Reaffirmation attached hereto duly executed by the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3.</w:t>
      </w:r>
      <w:r w:rsidDel="00000000" w:rsidR="00000000" w:rsidRPr="00000000">
        <w:rPr>
          <w:rtl w:val="0"/>
        </w:rPr>
        <w:t xml:space="preserve"> </w:t>
      </w:r>
      <w:r w:rsidDel="00000000" w:rsidR="00000000" w:rsidRPr="00000000">
        <w:rPr>
          <w:rFonts w:ascii="Verdana" w:cs="Verdana" w:eastAsia="Verdana" w:hAnsi="Verdana"/>
          <w:sz w:val="20"/>
          <w:szCs w:val="20"/>
          <w:u w:val="single"/>
          <w:rtl w:val="0"/>
        </w:rPr>
        <w:t xml:space="preserve">Representations and Warranties of the Company and Acknowledgements and Confirmations</w:t>
      </w:r>
      <w:r w:rsidDel="00000000" w:rsidR="00000000" w:rsidRPr="00000000">
        <w:rPr>
          <w:rFonts w:ascii="Verdana" w:cs="Verdana" w:eastAsia="Verdana" w:hAnsi="Verdana"/>
          <w:sz w:val="20"/>
          <w:szCs w:val="20"/>
          <w:rtl w:val="0"/>
        </w:rPr>
        <w:t xml:space="preserve">. The Company hereby represents and warrants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(a)</w:t>
      </w: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This Amendment and the Credit Agreement, as amended hereby, constitute legal, valid and binding obligations of the Company and are enforceable against the Company in accordance with their terms, subject to applicable bankruptcy, insolvency, reorganization, moratorium or other laws affecting creditors’ rights generally and subject to general principles of equity, regardless of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(b)</w:t>
      </w: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As of the date hereof and giving effect to the terms of this Amendment, (i) no Default shall have occurred and be continuing and (ii) the representations and warranties of the Company set forth in the Credit Agreement, as amended hereby, are true and correct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(c)</w:t>
      </w: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The Company (and by its execution of the Consent and Reaffirmation attached hereto, each Subsidiary Guarantor) hereby acknowledges and confirms that (i) it does not have any grounds, and hereby agrees not to challenge (or to allege or to pursue any matter, cause or claim arising under or with respect to) the effectiveness, genuineness, validity, collectibility or enforceability of the Credit Agreement or any of the other Loan Documents, the Secured Obligations, the Liens securing such Secured Obligations, or any of the terms or conditions of any Loan Document and (ii) it does not possess (and hereby forever waives, remises, releases, discharges and holds harmless the Lenders, the Agents and their respective affiliates, stockholders, directors, officers, employees, attorneys, agents and representatives and each of their respective heirs, executors, administrators, successors and assigns (collectively, the “</w:t>
      </w:r>
      <w:r w:rsidDel="00000000" w:rsidR="00000000" w:rsidRPr="00000000">
        <w:rPr>
          <w:rFonts w:ascii="Verdana" w:cs="Verdana" w:eastAsia="Verdana" w:hAnsi="Verdana"/>
          <w:sz w:val="20"/>
          <w:szCs w:val="20"/>
          <w:u w:val="single"/>
          <w:rtl w:val="0"/>
        </w:rPr>
        <w:t xml:space="preserve">Indemnified Parties</w:t>
      </w:r>
      <w:r w:rsidDel="00000000" w:rsidR="00000000" w:rsidRPr="00000000">
        <w:rPr>
          <w:rFonts w:ascii="Verdana" w:cs="Verdana" w:eastAsia="Verdana" w:hAnsi="Verdana"/>
          <w:sz w:val="20"/>
          <w:szCs w:val="20"/>
          <w:rtl w:val="0"/>
        </w:rPr>
        <w:t xml:space="preserve">”) from and against, and agrees not to allege or pursue) any action, cause of action, suit, debt, claim, counterclaim, cross-claim, demand, defense, offset, opposition, demand and other right of action whatsoever, whether in law, equity or otherwise (which it, all those claiming by, through or under it, or its successors or assigns, have or may have) against the Indemnified Parties, or any of them, by reason of, any matter, cause or thing whatsoever, with respect to events or omissions occurring or arising on or prior to the date hereof and relating to the Credit Agreement or any of the other Loan Documents (including, without limitation, with respect to the payment, performance, validity or enforceability of the Secured Obligations, the Liens securing the Secured Obligations or any or all of the terms or conditions of any Loan Document) or any transaction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4.</w:t>
      </w:r>
      <w:r w:rsidDel="00000000" w:rsidR="00000000" w:rsidRPr="00000000">
        <w:rPr>
          <w:rtl w:val="0"/>
        </w:rPr>
        <w:t xml:space="preserve"> </w:t>
      </w:r>
      <w:r w:rsidDel="00000000" w:rsidR="00000000" w:rsidRPr="00000000">
        <w:rPr>
          <w:rFonts w:ascii="Verdana" w:cs="Verdana" w:eastAsia="Verdana" w:hAnsi="Verdana"/>
          <w:sz w:val="20"/>
          <w:szCs w:val="20"/>
          <w:u w:val="single"/>
          <w:rtl w:val="0"/>
        </w:rPr>
        <w:t xml:space="preserve">Reference to and Effect on the Credit Agreement</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(a)</w:t>
      </w: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Upon the effectiveness hereof, each reference to the Credit Agreement in the Credit Agreement or any other Loan Document shall mean and be a reference to the Credit Agreement as amended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(b)</w:t>
      </w: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Except as specifically amended above, the Credit Agreement and all other documents, instruments and agreements executed and/or delivered in connection therewith shall remain in full force and effect and are hereby ratified and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(c)</w:t>
      </w: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The execution, delivery and effectiveness of this Amendment shall not operate as a waiver of any right, power or remedy of the Administrative Agent or the Lenders, nor constitute a waiver of any provision of the Credit Agreement or any other documents, instruments and agreements executed and/or delivered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5.</w:t>
      </w:r>
      <w:r w:rsidDel="00000000" w:rsidR="00000000" w:rsidRPr="00000000">
        <w:rPr>
          <w:rtl w:val="0"/>
        </w:rPr>
        <w:t xml:space="preserve"> </w:t>
      </w:r>
      <w:r w:rsidDel="00000000" w:rsidR="00000000" w:rsidRPr="00000000">
        <w:rPr>
          <w:rFonts w:ascii="Verdana" w:cs="Verdana" w:eastAsia="Verdana" w:hAnsi="Verdana"/>
          <w:sz w:val="20"/>
          <w:szCs w:val="20"/>
          <w:u w:val="single"/>
          <w:rtl w:val="0"/>
        </w:rPr>
        <w:t xml:space="preserve">Governing Law</w:t>
      </w:r>
      <w:r w:rsidDel="00000000" w:rsidR="00000000" w:rsidRPr="00000000">
        <w:rPr>
          <w:rFonts w:ascii="Verdana" w:cs="Verdana" w:eastAsia="Verdana" w:hAnsi="Verdana"/>
          <w:sz w:val="20"/>
          <w:szCs w:val="20"/>
          <w:rtl w:val="0"/>
        </w:rPr>
        <w:t xml:space="preserve">. This Amendment shall be construed in accordance with and governed by the law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6.</w:t>
      </w:r>
      <w:r w:rsidDel="00000000" w:rsidR="00000000" w:rsidRPr="00000000">
        <w:rPr>
          <w:rtl w:val="0"/>
        </w:rPr>
        <w:t xml:space="preserve"> </w:t>
      </w:r>
      <w:r w:rsidDel="00000000" w:rsidR="00000000" w:rsidRPr="00000000">
        <w:rPr>
          <w:rFonts w:ascii="Verdana" w:cs="Verdana" w:eastAsia="Verdana" w:hAnsi="Verdana"/>
          <w:sz w:val="20"/>
          <w:szCs w:val="20"/>
          <w:u w:val="single"/>
          <w:rtl w:val="0"/>
        </w:rPr>
        <w:t xml:space="preserve">Headings</w:t>
      </w:r>
      <w:r w:rsidDel="00000000" w:rsidR="00000000" w:rsidRPr="00000000">
        <w:rPr>
          <w:rFonts w:ascii="Verdana" w:cs="Verdana" w:eastAsia="Verdana" w:hAnsi="Verdana"/>
          <w:sz w:val="20"/>
          <w:szCs w:val="20"/>
          <w:rtl w:val="0"/>
        </w:rPr>
        <w:t xml:space="preserve">. Section headings in this Amendment are included herein for convenience of reference only and shall not constitute a part of this Amendment for any other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7.</w:t>
      </w:r>
      <w:r w:rsidDel="00000000" w:rsidR="00000000" w:rsidRPr="00000000">
        <w:rPr>
          <w:rtl w:val="0"/>
        </w:rPr>
        <w:t xml:space="preserve"> </w:t>
      </w:r>
      <w:r w:rsidDel="00000000" w:rsidR="00000000" w:rsidRPr="00000000">
        <w:rPr>
          <w:rFonts w:ascii="Verdana" w:cs="Verdana" w:eastAsia="Verdana" w:hAnsi="Verdana"/>
          <w:sz w:val="20"/>
          <w:szCs w:val="20"/>
          <w:u w:val="single"/>
          <w:rtl w:val="0"/>
        </w:rPr>
        <w:t xml:space="preserve">Counterparts</w:t>
      </w:r>
      <w:r w:rsidDel="00000000" w:rsidR="00000000" w:rsidRPr="00000000">
        <w:rPr>
          <w:rFonts w:ascii="Verdana" w:cs="Verdana" w:eastAsia="Verdana" w:hAnsi="Verdana"/>
          <w:sz w:val="20"/>
          <w:szCs w:val="20"/>
          <w:rtl w:val="0"/>
        </w:rPr>
        <w:t xml:space="preserve">. This Amendment may be executed by one or more of the parties hereto on any number of separate counterparts, and all of said counterparts taken together shall be deemed to constitute one and the same instrument. Signatures delivered by facsimile or PDF shall have the same force and effect as manual signatures delivered in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IN WITNESS WHEREOF, this Amendment has been duly executed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6625438743"/>
        <w:gridCol w:w="391.1081397292328"/>
        <w:gridCol w:w="2287.982617416012"/>
        <w:gridCol w:w="2287.982617416012"/>
        <w:tblGridChange w:id="0">
          <w:tblGrid>
            <w:gridCol w:w="4392.926625438743"/>
            <w:gridCol w:w="391.1081397292328"/>
            <w:gridCol w:w="2287.982617416012"/>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 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6625438743"/>
        <w:gridCol w:w="391.1081397292328"/>
        <w:gridCol w:w="2287.982617416012"/>
        <w:gridCol w:w="2287.982617416012"/>
        <w:tblGridChange w:id="0">
          <w:tblGrid>
            <w:gridCol w:w="4392.926625438743"/>
            <w:gridCol w:w="391.1081397292328"/>
            <w:gridCol w:w="2287.982617416012"/>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JPMORGAN CHASE BANK, NATIONAL ASSOCIATION, individually as a Lender, as the Swingline Lender, as the Issuing Bank and as Administrative Agent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6625438743"/>
        <w:gridCol w:w="391.1081397292328"/>
        <w:gridCol w:w="2287.982617416012"/>
        <w:gridCol w:w="2287.982617416012"/>
        <w:tblGridChange w:id="0">
          <w:tblGrid>
            <w:gridCol w:w="4392.926625438743"/>
            <w:gridCol w:w="391.1081397292328"/>
            <w:gridCol w:w="2287.982617416012"/>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JPMORGAN CHASE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Collateral Agent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 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6625438743"/>
        <w:gridCol w:w="391.1081397292328"/>
        <w:gridCol w:w="2287.982617416012"/>
        <w:gridCol w:w="2287.982617416012"/>
        <w:tblGridChange w:id="0">
          <w:tblGrid>
            <w:gridCol w:w="4392.926625438743"/>
            <w:gridCol w:w="391.1081397292328"/>
            <w:gridCol w:w="2287.982617416012"/>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RBS CITIZENS, NATIONAL ASSOCIATION (successor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merger to Citizens Bank of Massachusetts), individually as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Lender and as Co-Syndication Agent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 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6625438743"/>
        <w:gridCol w:w="391.1081397292328"/>
        <w:gridCol w:w="2287.982617416012"/>
        <w:gridCol w:w="2287.982617416012"/>
        <w:tblGridChange w:id="0">
          <w:tblGrid>
            <w:gridCol w:w="4392.926625438743"/>
            <w:gridCol w:w="391.1081397292328"/>
            <w:gridCol w:w="2287.982617416012"/>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HSBC BANK USA, NATIONAL ASSOCIATION,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Lender and as Co-Syndication Agent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 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6625438743"/>
        <w:gridCol w:w="391.1081397292328"/>
        <w:gridCol w:w="2287.982617416012"/>
        <w:gridCol w:w="2287.982617416012"/>
        <w:tblGridChange w:id="0">
          <w:tblGrid>
            <w:gridCol w:w="4392.926625438743"/>
            <w:gridCol w:w="391.1081397292328"/>
            <w:gridCol w:w="2287.982617416012"/>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CITIBANK, N.A., individually as a Lender and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Co-Syndication Agent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 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6625438743"/>
        <w:gridCol w:w="391.1081397292328"/>
        <w:gridCol w:w="2287.982617416012"/>
        <w:gridCol w:w="2287.982617416012"/>
        <w:tblGridChange w:id="0">
          <w:tblGrid>
            <w:gridCol w:w="4392.926625438743"/>
            <w:gridCol w:w="391.1081397292328"/>
            <w:gridCol w:w="2287.982617416012"/>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BANK OF AMERICA, 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Lender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 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6625438743"/>
        <w:gridCol w:w="391.1081397292328"/>
        <w:gridCol w:w="2287.982617416012"/>
        <w:gridCol w:w="2287.982617416012"/>
        <w:tblGridChange w:id="0">
          <w:tblGrid>
            <w:gridCol w:w="4392.926625438743"/>
            <w:gridCol w:w="391.1081397292328"/>
            <w:gridCol w:w="2287.982617416012"/>
            <w:gridCol w:w="2287.9826174160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UBS LOAN FINANCE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Lender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By:</w:t>
            </w:r>
            <w:r w:rsidDel="00000000" w:rsidR="00000000" w:rsidRPr="00000000">
              <w:rPr>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 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CONSENT AND REAFFIRMATION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Each of the undersigned hereby acknowledges receipt of a copy of the foregoing Amendment No. 8 to the Credit Agreement dated as of June 6, 2007 (as amended by that certain Amendment No. 1 thereto, dated as of April 25, 2008, that certain Amendment No. 2 thereto, dated as of October 31, 2008, that certain Amendment No. 3 thereto, dated as of December 3, 2008, that certain Amendment No. 4 thereto, dated as of December 12, 2008, that certain Amendment No. 5 thereto, dated as of May 15, 2009, that certain Amendment No. 6 thereto, dated as of June 8, 2009, and that certain Amendment No. 7 thereto, dated as of September 2, 2009, and as may be further amended, supplemented or otherwise modified from time to time, the “</w:t>
      </w:r>
      <w:r w:rsidDel="00000000" w:rsidR="00000000" w:rsidRPr="00000000">
        <w:rPr>
          <w:rFonts w:ascii="Verdana" w:cs="Verdana" w:eastAsia="Verdana" w:hAnsi="Verdana"/>
          <w:sz w:val="20"/>
          <w:szCs w:val="20"/>
          <w:u w:val="single"/>
          <w:rtl w:val="0"/>
        </w:rPr>
        <w:t xml:space="preserve">Credit Agreement</w:t>
      </w:r>
      <w:r w:rsidDel="00000000" w:rsidR="00000000" w:rsidRPr="00000000">
        <w:rPr>
          <w:rFonts w:ascii="Verdana" w:cs="Verdana" w:eastAsia="Verdana" w:hAnsi="Verdana"/>
          <w:sz w:val="20"/>
          <w:szCs w:val="20"/>
          <w:rtl w:val="0"/>
        </w:rPr>
        <w:t xml:space="preserve">”) by and among Photronics, Inc. (the “</w:t>
      </w:r>
      <w:r w:rsidDel="00000000" w:rsidR="00000000" w:rsidRPr="00000000">
        <w:rPr>
          <w:rFonts w:ascii="Verdana" w:cs="Verdana" w:eastAsia="Verdana" w:hAnsi="Verdana"/>
          <w:sz w:val="20"/>
          <w:szCs w:val="20"/>
          <w:u w:val="single"/>
          <w:rtl w:val="0"/>
        </w:rPr>
        <w:t xml:space="preserve">Company</w:t>
      </w:r>
      <w:r w:rsidDel="00000000" w:rsidR="00000000" w:rsidRPr="00000000">
        <w:rPr>
          <w:rFonts w:ascii="Verdana" w:cs="Verdana" w:eastAsia="Verdana" w:hAnsi="Verdana"/>
          <w:sz w:val="20"/>
          <w:szCs w:val="20"/>
          <w:rtl w:val="0"/>
        </w:rPr>
        <w:t xml:space="preserve">”), the Foreign Subsidiary Borrowers from time to time party thereto (together with the Company, the “</w:t>
      </w:r>
      <w:r w:rsidDel="00000000" w:rsidR="00000000" w:rsidRPr="00000000">
        <w:rPr>
          <w:rFonts w:ascii="Verdana" w:cs="Verdana" w:eastAsia="Verdana" w:hAnsi="Verdana"/>
          <w:sz w:val="20"/>
          <w:szCs w:val="20"/>
          <w:u w:val="single"/>
          <w:rtl w:val="0"/>
        </w:rPr>
        <w:t xml:space="preserve">Borrowers</w:t>
      </w:r>
      <w:r w:rsidDel="00000000" w:rsidR="00000000" w:rsidRPr="00000000">
        <w:rPr>
          <w:rFonts w:ascii="Verdana" w:cs="Verdana" w:eastAsia="Verdana" w:hAnsi="Verdana"/>
          <w:sz w:val="20"/>
          <w:szCs w:val="20"/>
          <w:rtl w:val="0"/>
        </w:rPr>
        <w:t xml:space="preserve">”), the financial institutions from time to time party thereto (the “</w:t>
      </w:r>
      <w:r w:rsidDel="00000000" w:rsidR="00000000" w:rsidRPr="00000000">
        <w:rPr>
          <w:rFonts w:ascii="Verdana" w:cs="Verdana" w:eastAsia="Verdana" w:hAnsi="Verdana"/>
          <w:sz w:val="20"/>
          <w:szCs w:val="20"/>
          <w:u w:val="single"/>
          <w:rtl w:val="0"/>
        </w:rPr>
        <w:t xml:space="preserve">Lenders</w:t>
      </w:r>
      <w:r w:rsidDel="00000000" w:rsidR="00000000" w:rsidRPr="00000000">
        <w:rPr>
          <w:rFonts w:ascii="Verdana" w:cs="Verdana" w:eastAsia="Verdana" w:hAnsi="Verdana"/>
          <w:sz w:val="20"/>
          <w:szCs w:val="20"/>
          <w:rtl w:val="0"/>
        </w:rPr>
        <w:t xml:space="preserve">”) and JPMorgan Chase Bank, National Association, as Administrative Agent (the “</w:t>
      </w:r>
      <w:r w:rsidDel="00000000" w:rsidR="00000000" w:rsidRPr="00000000">
        <w:rPr>
          <w:rFonts w:ascii="Verdana" w:cs="Verdana" w:eastAsia="Verdana" w:hAnsi="Verdana"/>
          <w:sz w:val="20"/>
          <w:szCs w:val="20"/>
          <w:u w:val="single"/>
          <w:rtl w:val="0"/>
        </w:rPr>
        <w:t xml:space="preserve">Administrative Agent</w:t>
      </w:r>
      <w:r w:rsidDel="00000000" w:rsidR="00000000" w:rsidRPr="00000000">
        <w:rPr>
          <w:rFonts w:ascii="Verdana" w:cs="Verdana" w:eastAsia="Verdana" w:hAnsi="Verdana"/>
          <w:sz w:val="20"/>
          <w:szCs w:val="20"/>
          <w:rtl w:val="0"/>
        </w:rPr>
        <w:t xml:space="preserve">”), which Amendment No. 8 is dated as of October 26, 2009 (the “</w:t>
      </w:r>
      <w:r w:rsidDel="00000000" w:rsidR="00000000" w:rsidRPr="00000000">
        <w:rPr>
          <w:rFonts w:ascii="Verdana" w:cs="Verdana" w:eastAsia="Verdana" w:hAnsi="Verdana"/>
          <w:sz w:val="20"/>
          <w:szCs w:val="20"/>
          <w:u w:val="single"/>
          <w:rtl w:val="0"/>
        </w:rPr>
        <w:t xml:space="preserve">Amendment</w:t>
      </w:r>
      <w:r w:rsidDel="00000000" w:rsidR="00000000" w:rsidRPr="00000000">
        <w:rPr>
          <w:rFonts w:ascii="Verdana" w:cs="Verdana" w:eastAsia="Verdana" w:hAnsi="Verdana"/>
          <w:sz w:val="20"/>
          <w:szCs w:val="20"/>
          <w:rtl w:val="0"/>
        </w:rPr>
        <w:t xml:space="preserve">”). Capitalized terms used in this Consent and Reaffirmation and not defined herein shall have the meanings given to them in the Credit Agreement. Without in any way establishing a course of dealing by the Administrative Agent or any Lender, each of the undersigned consents to the Amendment and reaffirms the terms and conditions of the Subsidiary Guaranty and any other Loan Document executed by it and acknowledges and agrees that such agreements and each and every such Loan Document executed by the undersigned in connection with the Credit Agreement remains in full force and effect and is hereby reaffirmed, ratified and confirmed. All references to the Credit Agreement contained in the above-referenced documents shall be a reference to the Credit Agreement as so modified by the Amendment and as the same may from time to time hereafter be amended, modified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Dated: October 26,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2306794303058"/>
        <w:gridCol w:w="2045.5194956805974"/>
        <w:gridCol w:w="2045.5194956805974"/>
        <w:gridCol w:w="364.2306794303058"/>
        <w:gridCol w:w="364.2306794303058"/>
        <w:gridCol w:w="2130.749474667289"/>
        <w:gridCol w:w="2045.5194956805974"/>
        <w:tblGridChange w:id="0">
          <w:tblGrid>
            <w:gridCol w:w="364.2306794303058"/>
            <w:gridCol w:w="2045.5194956805974"/>
            <w:gridCol w:w="2045.5194956805974"/>
            <w:gridCol w:w="364.2306794303058"/>
            <w:gridCol w:w="364.2306794303058"/>
            <w:gridCol w:w="2130.749474667289"/>
            <w:gridCol w:w="2045.5194956805974"/>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ALIGN-RITE,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ALIGN-RITE INTERNATIONAL, INC.</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ARIZONA,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CALIFORNIA, INC.</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TEXAS, INC.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TEXAS ALLEN, INC. (formerly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known as Photronics-Toppan Texas, Inc.)</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TEXAS I, LLC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TEXAS I, LP</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Photronics Texas, Inc., its Sole Member</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Photronics Texas, Inc., its General Partner</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TEXAS II, LLC</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TEXAS II, LP</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Photronics-Toppan Texas, Inc., its Sole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Photronics-Toppan Texas, Inc., its General</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Partner</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Consent and Reaffirmation to Amendment No.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Photronics,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Credit Agreement dated as of June 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