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6" w:name="content"/>
    <w:bookmarkStart w:id="85" w:name="Xb2f8ca7eb8e50d1bea8a9e4a3c6201bc28af515"/>
    <w:p>
      <w:pPr>
        <w:pStyle w:val="Heading1"/>
      </w:pPr>
      <w:r>
        <w:t xml:space="preserve">Конструктор автономных сценариев и агентных процессов: принципы, план реализации, ТЗ и инвест‑питч</w:t>
      </w:r>
    </w:p>
    <w:bookmarkStart w:id="42" w:name="принципы-и-архитектура-системы"/>
    <w:p>
      <w:pPr>
        <w:pStyle w:val="Heading2"/>
      </w:pPr>
      <w:r>
        <w:t xml:space="preserve">Принципы и архитектура системы</w:t>
      </w:r>
    </w:p>
    <w:bookmarkStart w:id="22" w:name="продуктовая-цель-и-рамка-двух-контуров"/>
    <w:p>
      <w:pPr>
        <w:pStyle w:val="Heading3"/>
      </w:pPr>
      <w:r>
        <w:t xml:space="preserve">Продуктовая цель и рамка «двух контуров»</w:t>
      </w:r>
    </w:p>
    <w:p>
      <w:pPr>
        <w:pStyle w:val="FirstParagraph"/>
      </w:pPr>
      <w:r>
        <w:t xml:space="preserve">Система, которую вы описали, по сути является «фабрикой автономных сценариев»: человек задаёт</w:t>
      </w:r>
      <w:r>
        <w:t xml:space="preserve"> </w:t>
      </w:r>
      <w:r>
        <w:rPr>
          <w:b/>
          <w:bCs/>
        </w:rPr>
        <w:t xml:space="preserve">intent + ограничения</w:t>
      </w:r>
      <w:r>
        <w:t xml:space="preserve">, а платформа сама превращает это в</w:t>
      </w:r>
      <w:r>
        <w:t xml:space="preserve"> </w:t>
      </w:r>
      <w:r>
        <w:rPr>
          <w:b/>
          <w:bCs/>
        </w:rPr>
        <w:t xml:space="preserve">исполняемый и управляемый</w:t>
      </w:r>
      <w:r>
        <w:t xml:space="preserve"> </w:t>
      </w:r>
      <w:r>
        <w:t xml:space="preserve">артефакт, выполняет его в продакшене и автоматически контролирует качество, стоимость и риски. Такой подход естественно раскладывается на два контура: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Build‑time</w:t>
      </w:r>
      <w:r>
        <w:t xml:space="preserve">: спецификация → компиляция → тесты/эвалиации → деплой по гейтам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Run‑time</w:t>
      </w:r>
      <w:r>
        <w:t xml:space="preserve">: event‑driven исполнение → durable orchestration → agent runtime (tool calling + память) → наблюдаемость и автоматические контролы</w:t>
      </w:r>
    </w:p>
    <w:p>
      <w:pPr>
        <w:pStyle w:val="FirstParagraph"/>
      </w:pPr>
      <w:r>
        <w:t xml:space="preserve">Ключевая инженерная ставка здесь — на</w:t>
      </w:r>
      <w:r>
        <w:t xml:space="preserve"> </w:t>
      </w:r>
      <w:r>
        <w:rPr>
          <w:b/>
          <w:bCs/>
        </w:rPr>
        <w:t xml:space="preserve">durable orchestration</w:t>
      </w:r>
      <w:r>
        <w:t xml:space="preserve"> </w:t>
      </w:r>
      <w:r>
        <w:t xml:space="preserve">(чтобы сценарии были устойчивы к падениям/таймаутам/дублям) и на</w:t>
      </w:r>
      <w:r>
        <w:t xml:space="preserve"> </w:t>
      </w:r>
      <w:r>
        <w:rPr>
          <w:b/>
          <w:bCs/>
        </w:rPr>
        <w:t xml:space="preserve">политики/гейты</w:t>
      </w:r>
      <w:r>
        <w:t xml:space="preserve"> </w:t>
      </w:r>
      <w:r>
        <w:t xml:space="preserve">(чтобы автономность не разрушала безопасность и бизнес‑метрики). Концептуально это совпадает с тем, как современные workflow‑движки обеспечивают «воспроизводимое выполнение» и восстановление по истории событий: например, у workflow‑платформ идея durable execution реализуется через хранение истории событий, позволяя продолжать выполнение после сбоев.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36" w:name="X6edb8a2ba4c7dac542cb4f605d9be75249a1835"/>
    <w:p>
      <w:pPr>
        <w:pStyle w:val="Heading3"/>
      </w:pPr>
      <w:r>
        <w:t xml:space="preserve">Архитектурные принципы, которые нужно «зашить в ДНК»</w:t>
      </w:r>
    </w:p>
    <w:p>
      <w:pPr>
        <w:pStyle w:val="FirstParagraph"/>
      </w:pPr>
      <w:r>
        <w:t xml:space="preserve">Ниже — принципы, которые</w:t>
      </w:r>
      <w:r>
        <w:t xml:space="preserve"> </w:t>
      </w:r>
      <w:r>
        <w:rPr>
          <w:b/>
          <w:bCs/>
        </w:rPr>
        <w:t xml:space="preserve">не стоит делать опциональными</w:t>
      </w:r>
      <w:r>
        <w:t xml:space="preserve">: если их не заложить сразу, «автономность» почти неизбежно превратится в ручные костыли, инциденты и регрессии.</w:t>
      </w:r>
    </w:p>
    <w:p>
      <w:pPr>
        <w:pStyle w:val="BodyText"/>
      </w:pPr>
      <w:r>
        <w:rPr>
          <w:b/>
          <w:bCs/>
        </w:rPr>
        <w:t xml:space="preserve">Spec‑as‑Source‑of‑Truth (декларативность и воспроизводимость).</w:t>
      </w:r>
      <w:r>
        <w:br/>
      </w:r>
      <w:r>
        <w:t xml:space="preserve">Единственный «источник правды» — версия Scenario Spec (в Git/репозитории артефактов). Любое изменение в поведении должно быть объяснимо как изменение Spec/шаблона/политики/версии tool‑контракта. Это критично для регрессий, аудита и безопасного масштабирования сценариев в сотни/тысячи вариантов. (Эта мысль также согласуется с регуляторными ожиданиями к управляемости и трассируемости AI‑систем, где важны процессы управления и контроля по всему жизненному циклу.)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Orchestration‑first: durable state и «компенсации вместо надежды».</w:t>
      </w:r>
      <w:r>
        <w:br/>
      </w:r>
      <w:r>
        <w:t xml:space="preserve">Run‑time должен опираться не на «best effort» микросервисные цепочки, а на движок, который хранит состояние и прогресс выполнения и обеспечивает восстановление после сбоев. Для этого используются механизмы вроде event history (история событий выполнения) и правила повторов/таймаутов.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Для длинных бизнес‑транзакций в распределённых системах нужно проектировать «saga‑мышление»: последовательность локальных транзакций с</w:t>
      </w:r>
      <w:r>
        <w:t xml:space="preserve"> </w:t>
      </w:r>
      <w:r>
        <w:rPr>
          <w:b/>
          <w:bCs/>
        </w:rPr>
        <w:t xml:space="preserve">компенсирующими операциями</w:t>
      </w:r>
      <w:r>
        <w:t xml:space="preserve"> </w:t>
      </w:r>
      <w:r>
        <w:t xml:space="preserve">при ошибках.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Event‑driven как транспорт, contract‑driven как дисциплина.</w:t>
      </w:r>
      <w:r>
        <w:br/>
      </w:r>
      <w:r>
        <w:t xml:space="preserve">«Шина событий» нужна не только для триггеров, но и как единая ткань наблюдаемости и интеграций. В терминах event streaming это означает захват событий в real‑time, их долговременное хранение и обработку/реакцию в потоке.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br/>
      </w:r>
      <w:r>
        <w:t xml:space="preserve">Практически это приводит к строгим требованиям: schema registry/версирование контрактов, дедупликация, идемпотентность, ключи корреляции, DLQ и poison‑message стратегии.</w:t>
      </w:r>
    </w:p>
    <w:p>
      <w:pPr>
        <w:pStyle w:val="BodyText"/>
      </w:pPr>
      <w:r>
        <w:rPr>
          <w:b/>
          <w:bCs/>
        </w:rPr>
        <w:t xml:space="preserve">SLO‑управление как автоматический «педальный узел» релизов и автономности.</w:t>
      </w:r>
      <w:r>
        <w:br/>
      </w:r>
      <w:r>
        <w:t xml:space="preserve">SLO — это измеримая цель по SLI (latency, success rate и т. п.).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br/>
      </w:r>
      <w:r>
        <w:t xml:space="preserve">Ваша CI/CD‑логика (canary/shadow/rollout/rollback) должна быть привязана к error budget: канареечные релизы — классический способ «экономить» бюджет ошибок, ограничивая радиус поражения.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Observability‑by‑default: трассы + метрики + логи, корреляция end‑to‑end.</w:t>
      </w:r>
      <w:r>
        <w:br/>
      </w:r>
      <w:r>
        <w:t xml:space="preserve">Для сложной event‑driven/agent‑платформы «наблюдаемость» — не UI‑приятность, а основа управляемости. OpenTelemetry как стандартный подход объединяет сигналы (traces/metrics/logs) и позволяет коррелировать их между собой, включая распределённый контекст.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Security &amp; AI‑safety‑by‑construction (не «после»).</w:t>
      </w:r>
      <w:r>
        <w:br/>
      </w:r>
      <w:r>
        <w:t xml:space="preserve">- Zero Trust: непрерывная проверка доступа, контекстные политики, принцип наименьших привилегий.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- Для API‑слоя важны типовые риски вроде Broken Object Level Authorization: если сценарии/агенты получают доступ к объектам по ID, контроль доступа обязан быть объектным и систематическим.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br/>
      </w:r>
      <w:r>
        <w:t xml:space="preserve">- Для agentic‑части нужно проектировать защиту от Prompt Injection, Insecure Output Handling, Excessive Agency и т. п. — эти риски выделяются как ключевые в списках угроз для LLM‑приложений.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Соответствие требованиям по данным и регуляторике как «системная функция».</w:t>
      </w:r>
      <w:r>
        <w:br/>
      </w:r>
      <w:r>
        <w:t xml:space="preserve">Если вы находитесь в контуре European Union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или делаете продукт для банков/финтеха, нельзя откладывать комплаенс. GDPR задаёт принципы законности/прозрачности и др. в обработке персональных данных.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t xml:space="preserve">Кроме того, European Commission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фиксирует таймлайн применимости AI Act: акт вступил в силу 1 августа 2024 года и становится полностью применимым 2 августа 2026 (с исключениями и промежуточными датами).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br/>
      </w:r>
      <w:r>
        <w:t xml:space="preserve">Это напрямую влияет на требования к governance, документации, управлению рисками и «человеческому вмешательству» в критических сценариях (особенно при high‑risk применениях).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Tooling‑контур как «надёжный контракт», а не хаотичный набор интеграций.</w:t>
      </w:r>
      <w:r>
        <w:br/>
      </w:r>
      <w:r>
        <w:t xml:space="preserve">В LLM‑системах вызов инструментов — это многошаговый протокол: модель предлагает tool‑call, приложение исполняет, возвращает результат, модель продолжает.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br/>
      </w:r>
      <w:r>
        <w:t xml:space="preserve">Если вы строите MCP‑подобный слой, важно помнить: протоколы tool‑взаимодействия подчёркивают, что инструменты — это фактически произвольное выполнение кода и требуют осторожности и явных контролей.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bookmarkEnd w:id="36"/>
    <w:bookmarkStart w:id="41" w:name="Xdb6472d68d63b4d1883fbcd785890acd1c686b3"/>
    <w:p>
      <w:pPr>
        <w:pStyle w:val="Heading3"/>
      </w:pPr>
      <w:r>
        <w:t xml:space="preserve">Целевая архитектура: контрольная плоскость и плоскость выполнения</w:t>
      </w:r>
    </w:p>
    <w:p>
      <w:pPr>
        <w:pStyle w:val="FirstParagraph"/>
      </w:pPr>
      <w:r>
        <w:t xml:space="preserve">Практичным способом описать целевую архитектуру будет разделение на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(конструирование/политики/релизы) и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(исполнение/события/агенты).</w:t>
      </w:r>
    </w:p>
    <w:p>
      <w:pPr>
        <w:pStyle w:val="BodyText"/>
      </w:pPr>
      <w:r>
        <w:rPr>
          <w:b/>
          <w:bCs/>
        </w:rPr>
        <w:t xml:space="preserve">Control Plane (Build‑time)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Scenario Spec Service</w:t>
      </w:r>
      <w:r>
        <w:t xml:space="preserve">: хранение/версирование Spec, статическая валидация схемы, управление risk‑классом и NFR.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Template Library</w:t>
      </w:r>
      <w:r>
        <w:t xml:space="preserve">: библиотека типовых паттернов (saga, approval, async callbacks, CRM‑флоу, antifraud и т. п.) — «скелеты» сценариев, которые Builder специализирует.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Scenario Builder/Compiler</w:t>
      </w:r>
      <w:r>
        <w:t xml:space="preserve">: Spec → workflow graph (state machine/DAG), генерация конфигурации agent‑ролей, привязка tool‑контрактов, генерация тестов и policy‑пакета.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Tool Registry + Tool Gateway</w:t>
      </w:r>
      <w:r>
        <w:t xml:space="preserve">: единый каталог инструментов с типами входов/выходов, SLA, rate limits, правами и аудитом; gateway как enforcement‑точка. (Идеологически близко к MCP‑подходу: унифицировать доступ и безопасность tool‑слоя.)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Policy Engine</w:t>
      </w:r>
      <w:r>
        <w:t xml:space="preserve">: декларативные политики (allow/deny, approvals, PII‑маскирование, cost‑guard), которые применяются в рантайме и в CI гейтах; здесь удобно использовать унифицированный движок политик наподобие OPA для enforcement «по всему стеку».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Quality &amp; Safety Evaluation Suite</w:t>
      </w:r>
      <w:r>
        <w:t xml:space="preserve">: симуляции, тесты, LLM‑eval, red‑teaming наборы (prompt injection/PII leakage), регрессии. OpenAI Evals — пример фреймворка, который позиционируется именно для оценки LLM‑моделей и систем и поддерживает кастомные eval‑наборы под конкретный use‑case.</w:t>
      </w:r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Release Orchestrator</w:t>
      </w:r>
      <w:r>
        <w:t xml:space="preserve">: canary/shadow, автопромоут и автроллбек по SLO/error budget. Канареечные релизы и error budgets — классическая связка в SRE‑подходе.</w:t>
      </w:r>
      <w:r>
        <w:t xml:space="preserve"> 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Data Plane (Run‑time)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Event Bus</w:t>
      </w:r>
      <w:r>
        <w:t xml:space="preserve">: входные события, internal events оркестратора, webhooks от внешних систем. Event streaming платформы описываются как инфраструктура для публикации/подписки, долговременного хранения и обработки потоков событий, включая использование в event‑driven архитектурах.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Orchestration Engine (Durable)</w:t>
      </w:r>
      <w:r>
        <w:t xml:space="preserve">: ядро, хранящее состояние каждого запуска сценария, обеспечивающее retries/timeouts/идемпотентность/компенсации. В качестве ориентиров можно рассматривать:</w:t>
      </w:r>
      <w:r>
        <w:br/>
      </w:r>
      <w:r>
        <w:t xml:space="preserve">- workflow‑платформы с durable execution, где история событий обеспечивает восстановление после сбоев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workflow‑движки Camunda 8/Zeebe, где заявлены устойчивость, распределённая обработка и репликация без ручного вмешательства при отказах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Agent Runtime</w:t>
      </w:r>
      <w:r>
        <w:t xml:space="preserve">: tool calling + контекст‑менеджер + память, встроенные guardrails и «confidence/fallback». Механика tool calling в API‑подходе описывается как многошаговая связка модель ↔ приложение ↔ инструмент ↔ модель.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Memory &amp; Knowledge (RAG)</w:t>
      </w:r>
      <w:r>
        <w:t xml:space="preserve">:</w:t>
      </w:r>
      <w:r>
        <w:br/>
      </w:r>
      <w:r>
        <w:t xml:space="preserve">- Short‑term: контекст конкретного запуска/сессии</w:t>
      </w:r>
      <w:r>
        <w:br/>
      </w:r>
      <w:r>
        <w:t xml:space="preserve">- Long‑term: профили/история/документы через retrieval‑augmented generation, где генерация дополняется извлечением релевантных документов из внешней памяти/индекса; классическая формулировка RAG как сочетания параметрической и непараметрической памяти описана в работе Lewis et al.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Observability Pipeline</w:t>
      </w:r>
      <w:r>
        <w:t xml:space="preserve">: распределённые трассы, метрики, логи с корреляцией; OpenTelemetry позиционирует унификацию и корреляцию сигналов как ключевую ценность.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Audit &amp; Compliance Log</w:t>
      </w:r>
      <w:r>
        <w:t xml:space="preserve">: неизменяемый журнал действий сценария/агента, привязанный к политикам и правам, пригодный для внешнего аудита.</w:t>
      </w:r>
    </w:p>
    <w:bookmarkEnd w:id="41"/>
    <w:bookmarkEnd w:id="42"/>
    <w:bookmarkStart w:id="53" w:name="пошаговый-план-создания"/>
    <w:p>
      <w:pPr>
        <w:pStyle w:val="Heading2"/>
      </w:pPr>
      <w:r>
        <w:t xml:space="preserve">Пошаговый план создания</w:t>
      </w:r>
    </w:p>
    <w:p>
      <w:pPr>
        <w:pStyle w:val="FirstParagraph"/>
      </w:pPr>
      <w:r>
        <w:t xml:space="preserve">Ниже — практичный план, ориентированный на реализацию с измеримыми инкрементами. Он построен так, чтобы вы как можно раньше получили «работающий контур» end‑to‑end (Spec → сборка → запуск → наблюдаемость), а затем наращивали шаблоны, политики и автономность.</w:t>
      </w:r>
    </w:p>
    <w:bookmarkStart w:id="43" w:name="Xfa19fb678b5eade211da0a27cb9934827c9c39e"/>
    <w:p>
      <w:pPr>
        <w:pStyle w:val="Heading3"/>
      </w:pPr>
      <w:r>
        <w:t xml:space="preserve">Этап инициализации: продуктовая рамка и «контракт автономности»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формализованные границы автономности и метрики.</w:t>
      </w:r>
    </w:p>
    <w:p>
      <w:pPr>
        <w:pStyle w:val="BodyText"/>
      </w:pPr>
      <w:r>
        <w:t xml:space="preserve">1) Сформировать «матрицу сценариев» (20–40 кандидатов): по ценности, рискам, частоте, сложности интеграций.</w:t>
      </w:r>
      <w:r>
        <w:br/>
      </w:r>
      <w:r>
        <w:t xml:space="preserve">2) Определить risk‑классы и правила подтверждений: какие действия автономны, какие требуют approval/2‑man rule, какие запрещены. Это следует из практик управления AI‑рисками (governance по жизненному циклу).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br/>
      </w:r>
      <w:r>
        <w:t xml:space="preserve">3) Определить SLO/SLI и error‑budget политику как основу автодеплоя и kill‑switch. SLO — измеримая цель по SLI, error budget — механизм баланса инноваций и стабильности.</w:t>
      </w:r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  <w:r>
        <w:br/>
      </w:r>
      <w:r>
        <w:t xml:space="preserve">4) Определить минимальный комплаенс‑контур данных (PII‑классификация, retention, доступы) с учётом принципов GDPR.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t xml:space="preserve">5) Зафиксировать требования под EU AI Act по таймлайну применимости (особенно если ваши сценарии потенциально подпадают под high‑risk).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43"/>
    <w:bookmarkStart w:id="45" w:name="Xa90f536e0e2404eb5a10da1bf1043e38677d485"/>
    <w:p>
      <w:pPr>
        <w:pStyle w:val="Heading3"/>
      </w:pPr>
      <w:r>
        <w:t xml:space="preserve">Этап MVP: «скелет платформы», 1–2 шаблона, 3–5 tools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Spec → Builder → Orchestrator → Tool Gateway → Observability, один реальный сценарий в проде (пусть даже узкий).</w:t>
      </w:r>
    </w:p>
    <w:p>
      <w:pPr>
        <w:pStyle w:val="BodyText"/>
      </w:pPr>
      <w:r>
        <w:t xml:space="preserve">1) Scenario Spec v0.1: JSON Schema/Protobuf + валидатор.</w:t>
      </w:r>
      <w:r>
        <w:br/>
      </w:r>
      <w:r>
        <w:t xml:space="preserve">2) Tool Registry v0.1: 3–5 критичных интеграций (CRM, уведомления, профиль клиента, платеж/счёт). Для вызовов — строго через gateway, потому что tool calling в LLM‑архитектуре предполагает исполнение на стороне приложения, а не «внутри модели».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br/>
      </w:r>
      <w:r>
        <w:t xml:space="preserve">3) Orchestrator: выбрать движок и запустить минимальный durable workflow. Важны свойства durable execution/восстановления по истории событий.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4) Event bus: базовые топики/схемы; для event streaming важно долговременное хранение, масштабирование, fault‑tolerance и наличие гарантий обработки (в т. ч. exactly‑once как заявляемая возможность платформы).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br/>
      </w:r>
      <w:r>
        <w:t xml:space="preserve">5) Observability: трасса «от события до последнего tool‑call»; корреляция сигналов в стиле OpenTelemetry.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br/>
      </w:r>
      <w:r>
        <w:t xml:space="preserve">6) Guardrails v0.1: запрет опасных действий в risk‑классе без approvals; базовая защита от prompt injection и insecure output handling как обязательные риски LLM‑приложений.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bookmarkEnd w:id="45"/>
    <w:bookmarkStart w:id="47" w:name="X6ecfa90b9ac4e1d6cc11cc07c97312414348e0b"/>
    <w:p>
      <w:pPr>
        <w:pStyle w:val="Heading3"/>
      </w:pPr>
      <w:r>
        <w:t xml:space="preserve">Этап «продуктовой платформы»: CI/CD сценариев, eval‑контур, canary, автоrollback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сценарии реально можно «выпускать» как артефакты с гейтами качества и безопасности.</w:t>
      </w:r>
    </w:p>
    <w:p>
      <w:pPr>
        <w:pStyle w:val="BodyText"/>
      </w:pPr>
      <w:r>
        <w:t xml:space="preserve">1) Scenario Builder v1: template selection → компиляция графа → генерация тестов и policy‑пакета.</w:t>
      </w:r>
      <w:r>
        <w:br/>
      </w:r>
      <w:r>
        <w:t xml:space="preserve">2) CI pipeline:</w:t>
      </w:r>
      <w:r>
        <w:br/>
      </w:r>
      <w:r>
        <w:t xml:space="preserve">- static checks Spec</w:t>
      </w:r>
      <w:r>
        <w:br/>
      </w:r>
      <w:r>
        <w:t xml:space="preserve">- симуляции и synthetic edge cases</w:t>
      </w:r>
      <w:r>
        <w:br/>
      </w:r>
      <w:r>
        <w:t xml:space="preserve">- LLM eval (в т. ч. на безопасность/отказы)</w:t>
      </w:r>
      <w:r>
        <w:br/>
      </w:r>
      <w:r>
        <w:t xml:space="preserve">- интеграционные тесты tool‑контрактов</w:t>
      </w:r>
      <w:r>
        <w:br/>
      </w:r>
      <w:r>
        <w:t xml:space="preserve">Подход с eval‑фреймворками документирован как практика повышения стабильности LLM‑приложений; у OpenAI есть гайды и инструменты eval.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t xml:space="preserve">3) Деплой по progressive delivery: canary/shadow, автопромоут/rollback по SLO. Canary‑подход и связь с error budget хорошо описаны в SRE‑практиках.</w:t>
      </w:r>
      <w:r>
        <w:t xml:space="preserve"> </w:t>
      </w:r>
      <w:hyperlink r:id="rId27">
        <w:r>
          <w:rPr>
            <w:rStyle w:val="Hyperlink"/>
          </w:rPr>
          <w:t xml:space="preserve">[21]</w:t>
        </w:r>
      </w:hyperlink>
    </w:p>
    <w:bookmarkEnd w:id="47"/>
    <w:bookmarkStart w:id="49" w:name="Xc0793d55f1dde31edd0275d2ce9bf7e2a7dcc9b"/>
    <w:p>
      <w:pPr>
        <w:pStyle w:val="Heading3"/>
      </w:pPr>
      <w:r>
        <w:t xml:space="preserve">Этап масштабирования: multi‑tenant, marketplace tools/templates, комплаенс «для энтерпрайза»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десятки команд могут создавать сценарии параллельно, не ломая безопасность и работу продакшена.</w:t>
      </w:r>
    </w:p>
    <w:p>
      <w:pPr>
        <w:pStyle w:val="BodyText"/>
      </w:pPr>
      <w:r>
        <w:t xml:space="preserve">1) Multi‑tenant модель: namespaces/тенанты, отдельные квоты, cost‑guard, изоляция данных и секретов (Zero Trust/least privilege).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2) Политики как код: единый engine для CI и рантайма, enforcement на gateway/оркестраторе/ADM‑интерфейсах; OPA позиционируется как унифицирующий policy engine, применимый к Kubernetes/CI/CD/API gateways.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3) «Market» инструментов и шаблонов: registry + версионирование + рейтинг надёжности (SLO/success rate/cost). Поддержка MCP‑экосистемы и наличие реестра MCP‑серверов показывает жизнеспособность модели «tool registry как продуктового слоя».</w:t>
      </w:r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br/>
      </w:r>
      <w:r>
        <w:t xml:space="preserve">4) Enterprise‑security: нормализованный аудит, отчётность, контроль доступа на уровне объектов (иначе API‑риски типа BOLA неизбежны).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br/>
      </w:r>
      <w:r>
        <w:t xml:space="preserve">5) Полный комплаенс по EU AI Act таймлайну (особенно к 2 августа 2026), если вы планируете EU‑рынок или клиентов из EU.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49"/>
    <w:bookmarkStart w:id="52" w:name="X7f027a9362a1e226de54cfaaf4a8fd4ad5e9d59"/>
    <w:p>
      <w:pPr>
        <w:pStyle w:val="Heading3"/>
      </w:pPr>
      <w:r>
        <w:t xml:space="preserve">Как использовать Codex/Cursor на разработке без «самострела»</w:t>
      </w:r>
    </w:p>
    <w:p>
      <w:pPr>
        <w:pStyle w:val="FirstParagraph"/>
      </w:pPr>
      <w:r>
        <w:t xml:space="preserve">Так как вы прямо называете Codex/Cursor как основу дев‑производительности, важно встроить правила безопасной разработки:</w:t>
      </w:r>
    </w:p>
    <w:p>
      <w:pPr>
        <w:pStyle w:val="Compact"/>
        <w:numPr>
          <w:ilvl w:val="0"/>
          <w:numId w:val="1002"/>
        </w:numPr>
      </w:pPr>
      <w:r>
        <w:t xml:space="preserve">Понимать, что Codex позиционируется как облачный software engineering agent, выполняющий задачи в изолированном sandbox‑окружении и умеющий делать параллельные задачи.</w:t>
      </w:r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2"/>
        </w:numPr>
      </w:pPr>
      <w:r>
        <w:t xml:space="preserve">Для Cursor учитывать режимы хранения/использования данных: компания описывает Privacy Mode и «zero data retention» для провайдеров моделей при включении соответствующей настройки, при этом оговаривая, что часть данных может сохраняться для функций продукта.</w:t>
      </w:r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Отдельно: интерфейсы «инструменты/команды» в agentic‑среде должны восприниматься как поверхность для атак и ошибок (это перекликается и с MCP‑предупреждением, что tools — это по сути произвольное исполнение кода).</w:t>
      </w:r>
      <w:r>
        <w:t xml:space="preserve"> </w:t>
      </w:r>
      <w:hyperlink r:id="rId35">
        <w:r>
          <w:rPr>
            <w:rStyle w:val="Hyperlink"/>
          </w:rPr>
          <w:t xml:space="preserve">[30]</w:t>
        </w:r>
      </w:hyperlink>
    </w:p>
    <w:bookmarkEnd w:id="52"/>
    <w:bookmarkEnd w:id="53"/>
    <w:bookmarkStart w:id="72" w:name="техническое-задание"/>
    <w:p>
      <w:pPr>
        <w:pStyle w:val="Heading2"/>
      </w:pPr>
      <w:r>
        <w:t xml:space="preserve">Техническое задание</w:t>
      </w:r>
    </w:p>
    <w:p>
      <w:pPr>
        <w:pStyle w:val="FirstParagraph"/>
      </w:pPr>
      <w:r>
        <w:t xml:space="preserve">Ниже — «сквозное ТЗ», которое можно отдавать аналитикам/архитекторам/разработке для декомпозиции и оценки. Оно написано как единый документ, но логически делится на PRD+SRS.</w:t>
      </w:r>
    </w:p>
    <w:bookmarkStart w:id="54" w:name="назначение-и-границы"/>
    <w:p>
      <w:pPr>
        <w:pStyle w:val="Heading3"/>
      </w:pPr>
      <w:r>
        <w:t xml:space="preserve">Назначение и границы</w:t>
      </w:r>
    </w:p>
    <w:p>
      <w:pPr>
        <w:pStyle w:val="FirstParagraph"/>
      </w:pPr>
      <w:r>
        <w:rPr>
          <w:b/>
          <w:bCs/>
        </w:rPr>
        <w:t xml:space="preserve">Цель системы:</w:t>
      </w:r>
      <w:r>
        <w:t xml:space="preserve"> </w:t>
      </w:r>
      <w:r>
        <w:t xml:space="preserve">создать платформу, позволяющую без ручной сборки запускать новые автономные сценарии в продакшене на основе декларативной спецификации, с автоматическими гейтами качества, стоимости и безопасности.</w:t>
      </w:r>
    </w:p>
    <w:p>
      <w:pPr>
        <w:pStyle w:val="BodyText"/>
      </w:pPr>
      <w:r>
        <w:rPr>
          <w:b/>
          <w:bCs/>
        </w:rPr>
        <w:t xml:space="preserve">Вне рамок (на старте):</w:t>
      </w:r>
      <w:r>
        <w:br/>
      </w:r>
      <w:r>
        <w:t xml:space="preserve">полная замена корпоративного IAM, собственный LLM‑провайдер/обучение моделей, «универсальный RPA по экрану» (computer use) во всех системах. (Это можно добавлять позже как отдельные продукты/интеграции.)</w:t>
      </w:r>
    </w:p>
    <w:bookmarkEnd w:id="54"/>
    <w:bookmarkStart w:id="55" w:name="пользователи-и-роли"/>
    <w:p>
      <w:pPr>
        <w:pStyle w:val="Heading3"/>
      </w:pPr>
      <w:r>
        <w:t xml:space="preserve">Пользователи и роли</w:t>
      </w:r>
    </w:p>
    <w:p>
      <w:pPr>
        <w:pStyle w:val="FirstParagraph"/>
      </w:pPr>
      <w:r>
        <w:t xml:space="preserve">1) Автор сценария (product/ops): формулирует intent, ограничения, KPI, risk‑класс, выбирает разрешённые tools, запускает публикацию.</w:t>
      </w:r>
      <w:r>
        <w:br/>
      </w:r>
      <w:r>
        <w:t xml:space="preserve">2) Платформенная команда: поддерживает шаблоны, tooling‑слой, политики, CI/CD, наблюдаемость.</w:t>
      </w:r>
      <w:r>
        <w:br/>
      </w:r>
      <w:r>
        <w:t xml:space="preserve">3) Безопасность/комплаенс: утверждает policy‑пакеты, правила PII, аудит.</w:t>
      </w:r>
      <w:r>
        <w:br/>
      </w:r>
      <w:r>
        <w:t xml:space="preserve">4) Эксплуатация/SRE: следит за SLO/error budget, управляет деградацией и инцидентами. SLO и error budget трактуются как механизм управления надёжностью и скоростью изменений.</w:t>
      </w:r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</w:p>
    <w:bookmarkEnd w:id="55"/>
    <w:bookmarkStart w:id="65" w:name="функциональные-требования"/>
    <w:p>
      <w:pPr>
        <w:pStyle w:val="Heading3"/>
      </w:pPr>
      <w:r>
        <w:t xml:space="preserve">Функциональные требования</w:t>
      </w:r>
    </w:p>
    <w:bookmarkStart w:id="57" w:name="декларативная-спецификация-сценария"/>
    <w:p>
      <w:pPr>
        <w:pStyle w:val="Heading4"/>
      </w:pPr>
      <w:r>
        <w:t xml:space="preserve">Декларативная спецификация сценария</w:t>
      </w:r>
    </w:p>
    <w:p>
      <w:pPr>
        <w:pStyle w:val="FirstParagraph"/>
      </w:pPr>
      <w:r>
        <w:t xml:space="preserve">Система должна поддерживать Scenario Spec как версионируемый контракт со следующими блоками (минимум):</w:t>
      </w:r>
    </w:p>
    <w:p>
      <w:pPr>
        <w:pStyle w:val="Compact"/>
        <w:numPr>
          <w:ilvl w:val="0"/>
          <w:numId w:val="1003"/>
        </w:numPr>
      </w:pPr>
      <w:r>
        <w:t xml:space="preserve">Goal/Outcome: цели, KPI, бизнес‑метрики</w:t>
      </w:r>
    </w:p>
    <w:p>
      <w:pPr>
        <w:pStyle w:val="Compact"/>
        <w:numPr>
          <w:ilvl w:val="0"/>
          <w:numId w:val="1003"/>
        </w:numPr>
      </w:pPr>
      <w:r>
        <w:t xml:space="preserve">Triggers: события/расписание/webhooks (под event streaming подход)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3"/>
        </w:numPr>
      </w:pPr>
      <w:r>
        <w:t xml:space="preserve">Allowed Actions: список tools + права/лимиты</w:t>
      </w:r>
    </w:p>
    <w:p>
      <w:pPr>
        <w:pStyle w:val="Compact"/>
        <w:numPr>
          <w:ilvl w:val="0"/>
          <w:numId w:val="1003"/>
        </w:numPr>
      </w:pPr>
      <w:r>
        <w:t xml:space="preserve">Data Contract: источники, качество, PII‑классы</w:t>
      </w:r>
    </w:p>
    <w:p>
      <w:pPr>
        <w:pStyle w:val="Compact"/>
        <w:numPr>
          <w:ilvl w:val="0"/>
          <w:numId w:val="1003"/>
        </w:numPr>
      </w:pPr>
      <w:r>
        <w:t xml:space="preserve">Non‑functional: SLA/latency/cost/token budget (в т. ч. «Unbounded Consumption» как риск для LLM‑систем выделяется в списках угроз — поэтому budget обязателен)</w:t>
      </w:r>
      <w:r>
        <w:t xml:space="preserve"> </w:t>
      </w:r>
      <w:hyperlink r:id="rId56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3"/>
        </w:numPr>
      </w:pPr>
      <w:r>
        <w:t xml:space="preserve">Risk Class: правила подтверждений, запреты, лимиты</w:t>
      </w:r>
    </w:p>
    <w:p>
      <w:pPr>
        <w:pStyle w:val="Compact"/>
        <w:numPr>
          <w:ilvl w:val="0"/>
          <w:numId w:val="1003"/>
        </w:numPr>
      </w:pPr>
      <w:r>
        <w:t xml:space="preserve">Observability Spec: какие метрики/алерты/триггеры деградации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Spec проходит статическую валидацию и может быть скомпилирован в артефакты без ручного редактирования workflow‑кода.</w:t>
      </w:r>
    </w:p>
    <w:bookmarkEnd w:id="57"/>
    <w:bookmarkStart w:id="58" w:name="scenario-buildercompiler"/>
    <w:p>
      <w:pPr>
        <w:pStyle w:val="Heading4"/>
      </w:pPr>
      <w:r>
        <w:t xml:space="preserve">Scenario Builder/Compiler</w:t>
      </w:r>
    </w:p>
    <w:p>
      <w:pPr>
        <w:pStyle w:val="FirstParagraph"/>
      </w:pPr>
      <w:r>
        <w:t xml:space="preserve">Builder должен:</w:t>
      </w:r>
    </w:p>
    <w:p>
      <w:pPr>
        <w:pStyle w:val="BodyText"/>
      </w:pPr>
      <w:r>
        <w:t xml:space="preserve">1) Определять подходящий шаблон (pattern selection) из Template Library</w:t>
      </w:r>
      <w:r>
        <w:br/>
      </w:r>
      <w:r>
        <w:t xml:space="preserve">2) Компилировать Spec → workflow graph (state machine/DAG) с таймаутами/retries/ветвлениями</w:t>
      </w:r>
      <w:r>
        <w:br/>
      </w:r>
      <w:r>
        <w:t xml:space="preserve">3) Генерировать «политику исполнения» (guardrails), которую будет применять рантайм</w:t>
      </w:r>
      <w:r>
        <w:br/>
      </w:r>
      <w:r>
        <w:t xml:space="preserve">4) Генерировать набор тестов и eval‑кейсов (smoke + edge cases)</w:t>
      </w:r>
      <w:r>
        <w:br/>
      </w:r>
      <w:r>
        <w:t xml:space="preserve">5) Генерировать deployment descriptor (как выкатывать: shadow/canary)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все артефакты воспроизводимы из Spec и версий шаблонов/tools/policies.</w:t>
      </w:r>
    </w:p>
    <w:bookmarkEnd w:id="58"/>
    <w:bookmarkStart w:id="60" w:name="tool-registry-tool-gateway"/>
    <w:p>
      <w:pPr>
        <w:pStyle w:val="Heading4"/>
      </w:pPr>
      <w:r>
        <w:t xml:space="preserve">Tool Registry + Tool Gateway</w:t>
      </w:r>
    </w:p>
    <w:p>
      <w:pPr>
        <w:pStyle w:val="FirstParagraph"/>
      </w:pPr>
      <w:r>
        <w:rPr>
          <w:b/>
          <w:bCs/>
        </w:rPr>
        <w:t xml:space="preserve">Tool Registry</w:t>
      </w:r>
      <w:r>
        <w:t xml:space="preserve"> </w:t>
      </w:r>
      <w:r>
        <w:t xml:space="preserve">хранит для каждого инструмента:</w:t>
      </w:r>
    </w:p>
    <w:p>
      <w:pPr>
        <w:pStyle w:val="Compact"/>
        <w:numPr>
          <w:ilvl w:val="0"/>
          <w:numId w:val="1004"/>
        </w:numPr>
      </w:pPr>
      <w:r>
        <w:t xml:space="preserve">типизированные входы/выходы, SLA, rate limits</w:t>
      </w:r>
    </w:p>
    <w:p>
      <w:pPr>
        <w:pStyle w:val="Compact"/>
        <w:numPr>
          <w:ilvl w:val="0"/>
          <w:numId w:val="1004"/>
        </w:numPr>
      </w:pPr>
      <w:r>
        <w:t xml:space="preserve">требования авторизации (scopes/roles)</w:t>
      </w:r>
    </w:p>
    <w:p>
      <w:pPr>
        <w:pStyle w:val="Compact"/>
        <w:numPr>
          <w:ilvl w:val="0"/>
          <w:numId w:val="1004"/>
        </w:numPr>
      </w:pPr>
      <w:r>
        <w:t xml:space="preserve">риск‑класс действия (безопасно/опасно/требует подтверждения)</w:t>
      </w:r>
    </w:p>
    <w:p>
      <w:pPr>
        <w:pStyle w:val="Compact"/>
        <w:numPr>
          <w:ilvl w:val="0"/>
          <w:numId w:val="1004"/>
        </w:numPr>
      </w:pPr>
      <w:r>
        <w:t xml:space="preserve">правила идемпотентности и дедупликации (например, idempotency keys)</w:t>
      </w:r>
    </w:p>
    <w:p>
      <w:pPr>
        <w:pStyle w:val="FirstParagraph"/>
      </w:pPr>
      <w:r>
        <w:t xml:space="preserve">Практика идемпотентных запросов критична для безопасных retries в финансах/созданиях сущностей; Stripe прямо описывает use of idempotency key для предотвращения двойного выполнения при повторе запросов.</w:t>
      </w:r>
      <w:r>
        <w:t xml:space="preserve"> </w:t>
      </w:r>
      <w:hyperlink r:id="rId59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Tool Gateway</w:t>
      </w:r>
      <w:r>
        <w:t xml:space="preserve"> </w:t>
      </w:r>
      <w:r>
        <w:t xml:space="preserve">обязан:</w:t>
      </w:r>
    </w:p>
    <w:p>
      <w:pPr>
        <w:pStyle w:val="Compact"/>
        <w:numPr>
          <w:ilvl w:val="0"/>
          <w:numId w:val="1005"/>
        </w:numPr>
      </w:pPr>
      <w:r>
        <w:t xml:space="preserve">применять политики доступа (least privilege, object‑level checks)</w:t>
      </w:r>
      <w:r>
        <w:t xml:space="preserve"> </w:t>
      </w:r>
      <w:hyperlink r:id="rId29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5"/>
        </w:numPr>
      </w:pPr>
      <w:r>
        <w:t xml:space="preserve">логировать вход/выход, коррелировать с trace/span</w:t>
      </w:r>
    </w:p>
    <w:p>
      <w:pPr>
        <w:pStyle w:val="Compact"/>
        <w:numPr>
          <w:ilvl w:val="0"/>
          <w:numId w:val="1005"/>
        </w:numPr>
      </w:pPr>
      <w:r>
        <w:t xml:space="preserve">обеспечивать rate limiting и circuit breaking</w:t>
      </w:r>
    </w:p>
    <w:p>
      <w:pPr>
        <w:pStyle w:val="Compact"/>
        <w:numPr>
          <w:ilvl w:val="0"/>
          <w:numId w:val="1005"/>
        </w:numPr>
      </w:pPr>
      <w:r>
        <w:t xml:space="preserve">поддерживать sandbox/stub режим для симуляций и shadow</w:t>
      </w:r>
    </w:p>
    <w:bookmarkEnd w:id="60"/>
    <w:bookmarkStart w:id="62" w:name="runtime-исполнение-сценариев"/>
    <w:p>
      <w:pPr>
        <w:pStyle w:val="Heading4"/>
      </w:pPr>
      <w:r>
        <w:t xml:space="preserve">Run‑time исполнение сценариев</w:t>
      </w:r>
    </w:p>
    <w:p>
      <w:pPr>
        <w:pStyle w:val="FirstParagraph"/>
      </w:pPr>
      <w:r>
        <w:t xml:space="preserve">Run‑time должен быть event‑driven и содержать:</w:t>
      </w:r>
    </w:p>
    <w:p>
      <w:pPr>
        <w:pStyle w:val="Compact"/>
        <w:numPr>
          <w:ilvl w:val="0"/>
          <w:numId w:val="1006"/>
        </w:numPr>
      </w:pPr>
      <w:r>
        <w:t xml:space="preserve">Event ingestion: подписка на топики/очереди, обработка webhooks</w:t>
      </w:r>
    </w:p>
    <w:p>
      <w:pPr>
        <w:pStyle w:val="Compact"/>
        <w:numPr>
          <w:ilvl w:val="0"/>
          <w:numId w:val="1006"/>
        </w:numPr>
      </w:pPr>
      <w:r>
        <w:t xml:space="preserve">Orchestration engine: хранение durable state каждого запуска, восстановление после сбоев, retries/timeouts. Механизм хранения истории событий, служащий для восстановления и аудита, описан в документации Temporal как ключевой для durable execution.</w:t>
      </w:r>
      <w:r>
        <w:t xml:space="preserve"> </w:t>
      </w:r>
      <w:hyperlink r:id="rId61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6"/>
        </w:numPr>
      </w:pPr>
      <w:r>
        <w:t xml:space="preserve">Saga/Compensation: для длинных транзакций обязательна поддержка компенсаций; saga‑паттерн описывает это как последовательность локальных транзакций с компенсирующими действиями при сбое.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62"/>
    <w:bookmarkStart w:id="63" w:name="agent-runtime"/>
    <w:p>
      <w:pPr>
        <w:pStyle w:val="Heading4"/>
      </w:pPr>
      <w:r>
        <w:t xml:space="preserve">Agent Runtime</w:t>
      </w:r>
    </w:p>
    <w:p>
      <w:pPr>
        <w:pStyle w:val="FirstParagraph"/>
      </w:pPr>
      <w:r>
        <w:t xml:space="preserve">Agent Runtime вызывается как шаги workflow и должен поддерживать:</w:t>
      </w:r>
    </w:p>
    <w:p>
      <w:pPr>
        <w:pStyle w:val="Compact"/>
        <w:numPr>
          <w:ilvl w:val="0"/>
          <w:numId w:val="1007"/>
        </w:numPr>
      </w:pPr>
      <w:r>
        <w:t xml:space="preserve">Router: выбор роли/подагента</w:t>
      </w:r>
    </w:p>
    <w:p>
      <w:pPr>
        <w:pStyle w:val="Compact"/>
        <w:numPr>
          <w:ilvl w:val="0"/>
          <w:numId w:val="1007"/>
        </w:numPr>
      </w:pPr>
      <w:r>
        <w:t xml:space="preserve">Tool calling: многошаговый цикл модель ↔ tool ↔ модель (исполнение на стороне приложения)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7"/>
        </w:numPr>
      </w:pPr>
      <w:r>
        <w:t xml:space="preserve">Memory: short‑term + RAG long‑term. RAG как подход сочетания генерации и retrieval описан в классической работе Lewis et al.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7"/>
        </w:numPr>
      </w:pPr>
      <w:r>
        <w:t xml:space="preserve">Guardrails: защита от prompt injection, insecure output handling, excessive agency и др. рисков LLM‑приложений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7"/>
        </w:numPr>
      </w:pPr>
      <w:r>
        <w:t xml:space="preserve">Cost/token management: budgets и правила обрезки контекста</w:t>
      </w:r>
    </w:p>
    <w:p>
      <w:pPr>
        <w:pStyle w:val="Compact"/>
        <w:numPr>
          <w:ilvl w:val="0"/>
          <w:numId w:val="1007"/>
        </w:numPr>
      </w:pPr>
      <w:r>
        <w:t xml:space="preserve">Fallback: деградация на deterministic workflow при нарушении SLO/росте ошибок</w:t>
      </w:r>
    </w:p>
    <w:bookmarkEnd w:id="63"/>
    <w:bookmarkStart w:id="64" w:name="observability-и-контроль"/>
    <w:p>
      <w:pPr>
        <w:pStyle w:val="Heading4"/>
      </w:pPr>
      <w:r>
        <w:t xml:space="preserve">Observability и контроль</w:t>
      </w:r>
    </w:p>
    <w:p>
      <w:pPr>
        <w:pStyle w:val="FirstParagraph"/>
      </w:pPr>
      <w:r>
        <w:t xml:space="preserve">Система должна:</w:t>
      </w:r>
    </w:p>
    <w:p>
      <w:pPr>
        <w:pStyle w:val="Compact"/>
        <w:numPr>
          <w:ilvl w:val="0"/>
          <w:numId w:val="1008"/>
        </w:numPr>
      </w:pPr>
      <w:r>
        <w:t xml:space="preserve">строить end‑to‑end трассу по каждому запуску (trigger → шаги → tool calls → результат)</w:t>
      </w:r>
    </w:p>
    <w:p>
      <w:pPr>
        <w:pStyle w:val="Compact"/>
        <w:numPr>
          <w:ilvl w:val="0"/>
          <w:numId w:val="1008"/>
        </w:numPr>
      </w:pPr>
      <w:r>
        <w:t xml:space="preserve">публиковать метрики SLI и проверять их относительно SLO (SLO как «цель по SLI» описан в SRE‑материалах).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8"/>
        </w:numPr>
      </w:pPr>
      <w:r>
        <w:t xml:space="preserve">поддерживать canary/shadow и автоrollback при нарушении error budget; canarying releases и связь с error budget описаны в SRE‑workbook.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8"/>
        </w:numPr>
      </w:pPr>
      <w:r>
        <w:t xml:space="preserve">использовать стандарты корреляции сигналов (OpenTelemetry traces/logs/metrics).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8"/>
        </w:numPr>
      </w:pPr>
      <w:r>
        <w:t xml:space="preserve">иметь kill switch на уровне сценария/тенанта/всей платформы</w:t>
      </w:r>
    </w:p>
    <w:bookmarkEnd w:id="64"/>
    <w:bookmarkEnd w:id="65"/>
    <w:bookmarkStart w:id="66" w:name="нефункциональные-требования"/>
    <w:p>
      <w:pPr>
        <w:pStyle w:val="Heading3"/>
      </w:pPr>
      <w:r>
        <w:t xml:space="preserve">Нефункциональные требования</w:t>
      </w:r>
    </w:p>
    <w:p>
      <w:pPr>
        <w:pStyle w:val="FirstParagraph"/>
      </w:pPr>
      <w:r>
        <w:t xml:space="preserve">(Часть значений — «по умолчанию», окончательные цифры — продуктовые решения и результат нагрузочного тестирования.)</w:t>
      </w:r>
    </w:p>
    <w:p>
      <w:pPr>
        <w:pStyle w:val="BodyText"/>
      </w:pPr>
      <w:r>
        <w:rPr>
          <w:b/>
          <w:bCs/>
        </w:rPr>
        <w:t xml:space="preserve">Надёжность и управляемость</w:t>
      </w:r>
      <w:r>
        <w:t xml:space="preserve"> </w:t>
      </w:r>
      <w:r>
        <w:t xml:space="preserve">- Каждая операция должна быть или идемпотентной, или защищённой дедупликацией/идемпотентным ключом на уровне gateway/оркестратора.</w:t>
      </w:r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br/>
      </w:r>
      <w:r>
        <w:t xml:space="preserve">- Должны быть определены SLO/SLI и error budget policy как обязательная часть релизного процесса.</w:t>
      </w:r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Масштабирование</w:t>
      </w:r>
      <w:r>
        <w:t xml:space="preserve"> </w:t>
      </w:r>
      <w:r>
        <w:t xml:space="preserve">- Оркестрация должна поддерживать большие объёмы параллельных процессов; Zeebe, например, акцентирует дизайн без центральной БД и распределение обработки/репликацию для throughput и отказоустойчивости.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br/>
      </w:r>
      <w:r>
        <w:t xml:space="preserve">- Event streaming слой должен масштабироваться горизонтально и обеспечивать fault tolerance; Kafka описывает распределённость, отказоустойчивость и долговременное хранение событий как базовые свойства платформы.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Безопасность</w:t>
      </w:r>
      <w:r>
        <w:t xml:space="preserve"> </w:t>
      </w:r>
      <w:r>
        <w:t xml:space="preserve">- Реализовать Zero Trust и least privilege как базовый принцип (ограничение видимости и доступности; непрерывная проверка).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- Обязательный object‑level authorization в API, учитывая распространённость BOLA как ключевого риска.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br/>
      </w:r>
      <w:r>
        <w:t xml:space="preserve">- LLM‑угрозы: prompt injection и insecure output handling должны быть покрыты техническими контролями (контент‑фильтры, policy enforcement, строгая валидация output перед действиями).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Данные и комплаенс</w:t>
      </w:r>
      <w:r>
        <w:t xml:space="preserve"> </w:t>
      </w:r>
      <w:r>
        <w:t xml:space="preserve">- GDPR: поддержать принципы обработки данных и контроль прозрачности/целей/минимизации, как задано в тексте регламента.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t xml:space="preserve">- EU AI Act: учесть сроки применимости и требования к практикам управления и готовности; таймлайн применимости до 2 августа 2026 следует учитывать в roadmap и в «Definition of Done» для enterprise‑версии.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66"/>
    <w:bookmarkStart w:id="67" w:name="данные-и-модели"/>
    <w:p>
      <w:pPr>
        <w:pStyle w:val="Heading3"/>
      </w:pPr>
      <w:r>
        <w:t xml:space="preserve">Данные и модели</w:t>
      </w:r>
    </w:p>
    <w:p>
      <w:pPr>
        <w:pStyle w:val="FirstParagraph"/>
      </w:pPr>
      <w:r>
        <w:t xml:space="preserve">Минимальные сущности (логическая модель):</w:t>
      </w:r>
    </w:p>
    <w:p>
      <w:pPr>
        <w:pStyle w:val="Compact"/>
        <w:numPr>
          <w:ilvl w:val="0"/>
          <w:numId w:val="1009"/>
        </w:numPr>
      </w:pPr>
      <w:r>
        <w:t xml:space="preserve">ScenarioSpec (id, version, owner, risk_class, allowed_tools, triggers, policies, tests_ref)</w:t>
      </w:r>
    </w:p>
    <w:p>
      <w:pPr>
        <w:pStyle w:val="Compact"/>
        <w:numPr>
          <w:ilvl w:val="0"/>
          <w:numId w:val="1009"/>
        </w:numPr>
      </w:pPr>
      <w:r>
        <w:t xml:space="preserve">ToolDefinition (id, version, schema_in/out, sla, scopes, idempotency_rules)</w:t>
      </w:r>
    </w:p>
    <w:p>
      <w:pPr>
        <w:pStyle w:val="Compact"/>
        <w:numPr>
          <w:ilvl w:val="0"/>
          <w:numId w:val="1009"/>
        </w:numPr>
      </w:pPr>
      <w:r>
        <w:t xml:space="preserve">ScenarioArtifact (workflow_def, agent_plan, policy_pack, dashboard_def)</w:t>
      </w:r>
    </w:p>
    <w:p>
      <w:pPr>
        <w:pStyle w:val="Compact"/>
        <w:numPr>
          <w:ilvl w:val="0"/>
          <w:numId w:val="1009"/>
        </w:numPr>
      </w:pPr>
      <w:r>
        <w:t xml:space="preserve">ScenarioRun (run_id, spec_version, start_event, current_state, trace_id, cost, outcome)</w:t>
      </w:r>
    </w:p>
    <w:p>
      <w:pPr>
        <w:pStyle w:val="Compact"/>
        <w:numPr>
          <w:ilvl w:val="0"/>
          <w:numId w:val="1009"/>
        </w:numPr>
      </w:pPr>
      <w:r>
        <w:t xml:space="preserve">AuditEvent (who/what/when/why, tool_call, decision, policy_eval_result)</w:t>
      </w:r>
    </w:p>
    <w:p>
      <w:pPr>
        <w:pStyle w:val="Compact"/>
        <w:numPr>
          <w:ilvl w:val="0"/>
          <w:numId w:val="1009"/>
        </w:numPr>
      </w:pPr>
      <w:r>
        <w:t xml:space="preserve">EvalSuite (dataset_ref, metrics, thresholds)</w:t>
      </w:r>
    </w:p>
    <w:bookmarkEnd w:id="67"/>
    <w:bookmarkStart w:id="68" w:name="api-и-интеграционные-контракты"/>
    <w:p>
      <w:pPr>
        <w:pStyle w:val="Heading3"/>
      </w:pPr>
      <w:r>
        <w:t xml:space="preserve">API и интеграционные контракты</w:t>
      </w:r>
    </w:p>
    <w:p>
      <w:pPr>
        <w:pStyle w:val="FirstParagraph"/>
      </w:pPr>
      <w:r>
        <w:rPr>
          <w:b/>
          <w:bCs/>
        </w:rPr>
        <w:t xml:space="preserve">Control Plane API:</w:t>
      </w:r>
      <w:r>
        <w:t xml:space="preserve"> </w:t>
      </w:r>
      <w:r>
        <w:t xml:space="preserve">- CRUD Spec, publish/compile, list artifacts, manage templates, manage tools, manage policies, start canary, rollback.</w:t>
      </w:r>
    </w:p>
    <w:p>
      <w:pPr>
        <w:pStyle w:val="BodyText"/>
      </w:pPr>
      <w:r>
        <w:rPr>
          <w:b/>
          <w:bCs/>
        </w:rPr>
        <w:t xml:space="preserve">Run‑time API:</w:t>
      </w:r>
      <w:r>
        <w:t xml:space="preserve"> </w:t>
      </w:r>
      <w:r>
        <w:t xml:space="preserve">- ingest event/webhook, query run status, fetch trace, fetch audit.</w:t>
      </w:r>
    </w:p>
    <w:p>
      <w:pPr>
        <w:pStyle w:val="BodyText"/>
      </w:pPr>
      <w:r>
        <w:rPr>
          <w:b/>
          <w:bCs/>
        </w:rPr>
        <w:t xml:space="preserve">Event contracts:</w:t>
      </w:r>
      <w:r>
        <w:t xml:space="preserve"> </w:t>
      </w:r>
      <w:r>
        <w:t xml:space="preserve">- topic naming conventions</w:t>
      </w:r>
      <w:r>
        <w:br/>
      </w:r>
      <w:r>
        <w:t xml:space="preserve">- schema registry strategy</w:t>
      </w:r>
      <w:r>
        <w:br/>
      </w:r>
      <w:r>
        <w:t xml:space="preserve">- correlation_id / causation_id / idempotency_key patterns</w:t>
      </w:r>
    </w:p>
    <w:bookmarkEnd w:id="68"/>
    <w:bookmarkStart w:id="70" w:name="тестирование-и-релиз"/>
    <w:p>
      <w:pPr>
        <w:pStyle w:val="Heading3"/>
      </w:pPr>
      <w:r>
        <w:t xml:space="preserve">Тестирование и релиз</w:t>
      </w:r>
    </w:p>
    <w:p>
      <w:pPr>
        <w:pStyle w:val="FirstParagraph"/>
      </w:pPr>
      <w:r>
        <w:t xml:space="preserve">1) Unit/contract tests tool‑интеграций</w:t>
      </w:r>
      <w:r>
        <w:br/>
      </w:r>
      <w:r>
        <w:t xml:space="preserve">2) Simulation (synthetic) и shadow traffic</w:t>
      </w:r>
      <w:r>
        <w:br/>
      </w:r>
      <w:r>
        <w:t xml:space="preserve">3) LLM eval: безопасность/качество/отказы. Evals как практика повышения стабильности описывается в руководствах и open‑source фреймворке.</w:t>
      </w:r>
      <w:r>
        <w:t xml:space="preserve"> </w:t>
      </w:r>
      <w:hyperlink r:id="rId46">
        <w:r>
          <w:rPr>
            <w:rStyle w:val="Hyperlink"/>
          </w:rPr>
          <w:t xml:space="preserve">[37]</w:t>
        </w:r>
      </w:hyperlink>
      <w:r>
        <w:br/>
      </w:r>
      <w:r>
        <w:t xml:space="preserve">4) Canary и progressive delivery; canary‑стратегии документированы в SRE‑подходе и vendor‑гайдах деплоя.</w:t>
      </w:r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br/>
      </w:r>
      <w:r>
        <w:t xml:space="preserve">5) Auto rollback по SLO/error budget.</w:t>
      </w:r>
      <w:r>
        <w:t xml:space="preserve"> </w:t>
      </w:r>
      <w:hyperlink r:id="rId69">
        <w:r>
          <w:rPr>
            <w:rStyle w:val="Hyperlink"/>
          </w:rPr>
          <w:t xml:space="preserve">[39]</w:t>
        </w:r>
      </w:hyperlink>
    </w:p>
    <w:bookmarkEnd w:id="70"/>
    <w:bookmarkStart w:id="71" w:name="критерии-приёмки-moscow-в-сжатом-виде"/>
    <w:p>
      <w:pPr>
        <w:pStyle w:val="Heading3"/>
      </w:pPr>
      <w:r>
        <w:t xml:space="preserve">Критерии приёмки (MoSCoW в сжатом виде)</w:t>
      </w:r>
    </w:p>
    <w:p>
      <w:pPr>
        <w:pStyle w:val="FirstParagraph"/>
      </w:pPr>
      <w:r>
        <w:rPr>
          <w:b/>
          <w:bCs/>
        </w:rPr>
        <w:t xml:space="preserve">Must have (MVP):</w:t>
      </w:r>
      <w:r>
        <w:t xml:space="preserve"> </w:t>
      </w:r>
      <w:r>
        <w:t xml:space="preserve">Spec → compile → execute → observe; tool gateway; базовые guardrails; аудит; canary.</w:t>
      </w:r>
      <w:r>
        <w:br/>
      </w:r>
      <w:r>
        <w:rPr>
          <w:b/>
          <w:bCs/>
        </w:rPr>
        <w:t xml:space="preserve">Should have:</w:t>
      </w:r>
      <w:r>
        <w:t xml:space="preserve"> </w:t>
      </w:r>
      <w:r>
        <w:t xml:space="preserve">eval‑контур; template library; sagas/compensations; object‑level authorization.</w:t>
      </w:r>
      <w:r>
        <w:t xml:space="preserve"> </w:t>
      </w:r>
      <w:hyperlink r:id="rId24">
        <w:r>
          <w:rPr>
            <w:rStyle w:val="Hyperlink"/>
          </w:rPr>
          <w:t xml:space="preserve">[40]</w:t>
        </w:r>
      </w:hyperlink>
      <w:r>
        <w:br/>
      </w:r>
      <w:r>
        <w:rPr>
          <w:b/>
          <w:bCs/>
        </w:rPr>
        <w:t xml:space="preserve">Could have:</w:t>
      </w:r>
      <w:r>
        <w:t xml:space="preserve"> </w:t>
      </w:r>
      <w:r>
        <w:t xml:space="preserve">marketplace шаблонов/tools; multi‑agent сложные роутинги; расширенный RAG.</w:t>
      </w:r>
      <w:r>
        <w:t xml:space="preserve"> </w:t>
      </w:r>
      <w:hyperlink r:id="rId40">
        <w:r>
          <w:rPr>
            <w:rStyle w:val="Hyperlink"/>
          </w:rPr>
          <w:t xml:space="preserve">[41]</w:t>
        </w:r>
      </w:hyperlink>
      <w:r>
        <w:br/>
      </w:r>
      <w:r>
        <w:rPr>
          <w:b/>
          <w:bCs/>
        </w:rPr>
        <w:t xml:space="preserve">Won’t (пока):</w:t>
      </w:r>
      <w:r>
        <w:t xml:space="preserve"> </w:t>
      </w:r>
      <w:r>
        <w:t xml:space="preserve">полностью автономные «опасные финансовые операции» без approvals; «неограниченные» инструменты. (Excessive agency прямо выделяется как риск.)</w:t>
      </w:r>
      <w:r>
        <w:t xml:space="preserve"> </w:t>
      </w:r>
      <w:hyperlink r:id="rId56">
        <w:r>
          <w:rPr>
            <w:rStyle w:val="Hyperlink"/>
          </w:rPr>
          <w:t xml:space="preserve">[32]</w:t>
        </w:r>
      </w:hyperlink>
    </w:p>
    <w:bookmarkEnd w:id="71"/>
    <w:bookmarkEnd w:id="72"/>
    <w:bookmarkStart w:id="84" w:name="инвесторский-питч"/>
    <w:p>
      <w:pPr>
        <w:pStyle w:val="Heading2"/>
      </w:pPr>
      <w:r>
        <w:t xml:space="preserve">Инвесторский питч</w:t>
      </w:r>
    </w:p>
    <w:bookmarkStart w:id="73" w:name="X5a81a8df43ede9cd04e597b14ecf2d69a0dc191"/>
    <w:p>
      <w:pPr>
        <w:pStyle w:val="Heading3"/>
      </w:pPr>
      <w:r>
        <w:t xml:space="preserve">Проблема: «агенты обещают автономность, но продакшен требует управляемости»</w:t>
      </w:r>
    </w:p>
    <w:p>
      <w:pPr>
        <w:pStyle w:val="FirstParagraph"/>
      </w:pPr>
      <w:r>
        <w:t xml:space="preserve">Рынок активно движется к агентам и оркестрации, но компании упираются в три барьера:</w:t>
      </w:r>
      <w:r>
        <w:br/>
      </w:r>
      <w:r>
        <w:t xml:space="preserve">1) непредсказуемость и риск LLM‑поведения (prompt injection, insecure output, excessive agency)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br/>
      </w:r>
      <w:r>
        <w:t xml:space="preserve">2) отсутствие производственного контура качества (eval, canary, rollback по SLO/error budget)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3) комплаенс и требования регулирования (в EU — таймлайн применимости AI Act до 2 августа 2026, плюс GDPR‑принципы по данным).</w:t>
      </w:r>
      <w:r>
        <w:t xml:space="preserve"> </w:t>
      </w:r>
      <w:hyperlink r:id="rId33">
        <w:r>
          <w:rPr>
            <w:rStyle w:val="Hyperlink"/>
          </w:rPr>
          <w:t xml:space="preserve">[43]</w:t>
        </w:r>
      </w:hyperlink>
    </w:p>
    <w:bookmarkEnd w:id="73"/>
    <w:bookmarkStart w:id="75" w:name="Xda448c1575309d2ef6719dbba8ee8e5ac7f3f60"/>
    <w:p>
      <w:pPr>
        <w:pStyle w:val="Heading3"/>
      </w:pPr>
      <w:r>
        <w:t xml:space="preserve">Решение: «конструктор» как platform layer между intent и продакшен‑исполнением</w:t>
      </w:r>
    </w:p>
    <w:p>
      <w:pPr>
        <w:pStyle w:val="FirstParagraph"/>
      </w:pPr>
      <w:r>
        <w:t xml:space="preserve">Ваш продукт — это платформа «intent → executable scenario», которая превращает автономность в</w:t>
      </w:r>
      <w:r>
        <w:t xml:space="preserve"> </w:t>
      </w:r>
      <w:r>
        <w:rPr>
          <w:b/>
          <w:bCs/>
        </w:rPr>
        <w:t xml:space="preserve">управляемую инженерную дисциплину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декларативный Spec как единый контракт</w:t>
      </w:r>
    </w:p>
    <w:p>
      <w:pPr>
        <w:pStyle w:val="Compact"/>
        <w:numPr>
          <w:ilvl w:val="0"/>
          <w:numId w:val="1010"/>
        </w:numPr>
      </w:pPr>
      <w:r>
        <w:t xml:space="preserve">компиляция в durable workflow + agent plan</w:t>
      </w:r>
    </w:p>
    <w:p>
      <w:pPr>
        <w:pStyle w:val="Compact"/>
        <w:numPr>
          <w:ilvl w:val="0"/>
          <w:numId w:val="1010"/>
        </w:numPr>
      </w:pPr>
      <w:r>
        <w:t xml:space="preserve">стандартизированный tool‑слой с правами, SLA и аудитом</w:t>
      </w:r>
    </w:p>
    <w:p>
      <w:pPr>
        <w:pStyle w:val="Compact"/>
        <w:numPr>
          <w:ilvl w:val="0"/>
          <w:numId w:val="1010"/>
        </w:numPr>
      </w:pPr>
      <w:r>
        <w:t xml:space="preserve">автоматические гейты: симуляции, eval, интеграционные тесты, canary/shadow</w:t>
      </w:r>
    </w:p>
    <w:p>
      <w:pPr>
        <w:pStyle w:val="Compact"/>
        <w:numPr>
          <w:ilvl w:val="0"/>
          <w:numId w:val="1010"/>
        </w:numPr>
      </w:pPr>
      <w:r>
        <w:t xml:space="preserve">наблюдаемость и автоконтроль по SLO/error budget</w:t>
      </w:r>
    </w:p>
    <w:p>
      <w:pPr>
        <w:pStyle w:val="FirstParagraph"/>
      </w:pPr>
      <w:r>
        <w:t xml:space="preserve">Это позиционируется не как «ещё один чатбот», а как</w:t>
      </w:r>
      <w:r>
        <w:t xml:space="preserve"> </w:t>
      </w:r>
      <w:r>
        <w:rPr>
          <w:b/>
          <w:bCs/>
        </w:rPr>
        <w:t xml:space="preserve">операционная система автономных процессов</w:t>
      </w:r>
      <w:r>
        <w:t xml:space="preserve"> </w:t>
      </w:r>
      <w:r>
        <w:t xml:space="preserve">(adaptive orchestration). Forrester выделяет направление adaptive process orchestration как комбинацию automation‑технологий, включая AI agents, чтобы двигаться к автономным операциям.</w:t>
      </w:r>
      <w:r>
        <w:t xml:space="preserve"> </w:t>
      </w:r>
      <w:hyperlink r:id="rId74">
        <w:r>
          <w:rPr>
            <w:rStyle w:val="Hyperlink"/>
          </w:rPr>
          <w:t xml:space="preserve">[44]</w:t>
        </w:r>
      </w:hyperlink>
    </w:p>
    <w:bookmarkEnd w:id="75"/>
    <w:bookmarkStart w:id="79" w:name="почему-сейчас-рынок-и-катализаторы"/>
    <w:p>
      <w:pPr>
        <w:pStyle w:val="Heading3"/>
      </w:pPr>
      <w:r>
        <w:t xml:space="preserve">Почему сейчас: рынок и катализаторы</w:t>
      </w:r>
    </w:p>
    <w:p>
      <w:pPr>
        <w:pStyle w:val="Compact"/>
        <w:numPr>
          <w:ilvl w:val="0"/>
          <w:numId w:val="1011"/>
        </w:numPr>
      </w:pPr>
      <w:r>
        <w:t xml:space="preserve">McKinsey оценивал экономический потенциал generative AI как триллионы долларов ежегодной добавленной стоимости (порядка $2.6–$4.4T в год по их оценке по use cases).</w:t>
      </w:r>
      <w:r>
        <w:t xml:space="preserve"> </w:t>
      </w:r>
      <w:hyperlink r:id="rId76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11"/>
        </w:numPr>
      </w:pPr>
      <w:r>
        <w:t xml:space="preserve">Deloitte</w:t>
      </w: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называет agent orchestration отдельным драйвером ценности и приводит агрегированные рыночные оценки по autonomous AI agent market (вплоть до десятков миллиардов к 2030).</w:t>
      </w:r>
      <w:r>
        <w:t xml:space="preserve"> </w:t>
      </w:r>
      <w:hyperlink r:id="rId77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11"/>
        </w:numPr>
      </w:pPr>
      <w:r>
        <w:t xml:space="preserve">entity["company","McKinsey &amp; Company","management consulting firm"] и другие исследователи одновременно подчёркивают, что компании усиливают меры по снижению риска неточности/ошибок при внедрении AI — это усиливает спрос на governance‑платформы, а не просто «генерацию».</w:t>
      </w:r>
      <w:r>
        <w:t xml:space="preserve"> </w:t>
      </w:r>
      <w:hyperlink r:id="rId78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1"/>
        </w:numPr>
      </w:pPr>
      <w:r>
        <w:t xml:space="preserve">Регуляторный таймлайн в EU объективно «подталкивает» рынок к системным решениям, а не экспериментам: полная применимость AI Act — 2 августа 2026, при этом часть обязанностей применялась раньше.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79"/>
    <w:bookmarkStart w:id="80" w:name="конкурентное-поле-и-дифференциация"/>
    <w:p>
      <w:pPr>
        <w:pStyle w:val="Heading3"/>
      </w:pPr>
      <w:r>
        <w:t xml:space="preserve">Конкурентное поле и дифференциация</w:t>
      </w:r>
    </w:p>
    <w:p>
      <w:pPr>
        <w:pStyle w:val="FirstParagraph"/>
      </w:pPr>
      <w:r>
        <w:rPr>
          <w:b/>
          <w:bCs/>
        </w:rPr>
        <w:t xml:space="preserve">Кого инвесторы/клиенты будут сравнивать с вами:</w:t>
      </w:r>
      <w:r>
        <w:t xml:space="preserve"> </w:t>
      </w:r>
      <w:r>
        <w:t xml:space="preserve">- workflow/BPM оркестрация (движки процессов)</w:t>
      </w:r>
      <w:r>
        <w:br/>
      </w:r>
      <w:r>
        <w:t xml:space="preserve">- iPaaS/интеграционные платформы</w:t>
      </w:r>
      <w:r>
        <w:br/>
      </w:r>
      <w:r>
        <w:t xml:space="preserve">- RPA</w:t>
      </w:r>
      <w:r>
        <w:br/>
      </w:r>
      <w:r>
        <w:t xml:space="preserve">- agent frameworks / «чатботы с tools»</w:t>
      </w:r>
    </w:p>
    <w:p>
      <w:pPr>
        <w:pStyle w:val="BodyText"/>
      </w:pPr>
      <w:r>
        <w:rPr>
          <w:b/>
          <w:bCs/>
        </w:rPr>
        <w:t xml:space="preserve">Чем вы отличаетесь:</w:t>
      </w:r>
      <w:r>
        <w:br/>
      </w:r>
      <w:r>
        <w:t xml:space="preserve">1) «Build‑time фабрика» (Spec → compile → eval → canary) как core IP, тогда как многие решения фокусируются только на run‑time.</w:t>
      </w:r>
      <w:r>
        <w:t xml:space="preserve"> </w:t>
      </w:r>
      <w:hyperlink r:id="rId46">
        <w:r>
          <w:rPr>
            <w:rStyle w:val="Hyperlink"/>
          </w:rPr>
          <w:t xml:space="preserve">[49]</w:t>
        </w:r>
      </w:hyperlink>
      <w:r>
        <w:br/>
      </w:r>
      <w:r>
        <w:t xml:space="preserve">2) единый tool‑слой с политиками и аудитом; акцент на том, что tool calling должен быть контролируемым многошаговым процессом в приложении, а не «магией модели».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br/>
      </w:r>
      <w:r>
        <w:t xml:space="preserve">3) безопасность LLM‑приложений как первая сущность (prompt injection, insecure output, excessive agency) на уровне платформы.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br/>
      </w:r>
      <w:r>
        <w:t xml:space="preserve">4) комплаенс‑ready архитектура под EU‑сроки.</w:t>
      </w:r>
      <w:r>
        <w:t xml:space="preserve"> </w:t>
      </w:r>
      <w:hyperlink r:id="rId33">
        <w:r>
          <w:rPr>
            <w:rStyle w:val="Hyperlink"/>
          </w:rPr>
          <w:t xml:space="preserve">[50]</w:t>
        </w:r>
      </w:hyperlink>
    </w:p>
    <w:bookmarkEnd w:id="80"/>
    <w:bookmarkStart w:id="81" w:name="бизнесмодель-и-gotomarket"/>
    <w:p>
      <w:pPr>
        <w:pStyle w:val="Heading3"/>
      </w:pPr>
      <w:r>
        <w:t xml:space="preserve">Бизнес‑модель и go‑to‑market</w:t>
      </w:r>
    </w:p>
    <w:p>
      <w:pPr>
        <w:pStyle w:val="FirstParagraph"/>
      </w:pPr>
      <w:r>
        <w:t xml:space="preserve">Модель монетизации обычно хорошо складывается в 2–3 линии:</w:t>
      </w:r>
      <w:r>
        <w:t xml:space="preserve"> </w:t>
      </w:r>
      <w:r>
        <w:t xml:space="preserve">- Enterprise subscription за платформу (по числу тенантов/запусков/оркестраций)</w:t>
      </w:r>
      <w:r>
        <w:br/>
      </w:r>
      <w:r>
        <w:t xml:space="preserve">- Usage‑based за agent runtime (токены/запуски) + премиум за eval/наблюдаемость</w:t>
      </w:r>
      <w:r>
        <w:br/>
      </w:r>
      <w:r>
        <w:t xml:space="preserve">- Marketplace revenue share на tools/templates (если развивать registry‑подход)</w:t>
      </w:r>
    </w:p>
    <w:p>
      <w:pPr>
        <w:pStyle w:val="BodyText"/>
      </w:pPr>
      <w:r>
        <w:t xml:space="preserve">В качестве продукта‑ускорителя можно использовать существующую экосистему tool‑registry (идеологически близкую к MCP registry), чтобы быстрее вырастить каталог интеграций.</w:t>
      </w:r>
      <w:r>
        <w:t xml:space="preserve"> </w:t>
      </w:r>
      <w:hyperlink r:id="rId48">
        <w:r>
          <w:rPr>
            <w:rStyle w:val="Hyperlink"/>
          </w:rPr>
          <w:t xml:space="preserve">[51]</w:t>
        </w:r>
      </w:hyperlink>
    </w:p>
    <w:bookmarkEnd w:id="81"/>
    <w:bookmarkStart w:id="82" w:name="roadmap-в-формате-инвестслайдов"/>
    <w:p>
      <w:pPr>
        <w:pStyle w:val="Heading3"/>
      </w:pPr>
      <w:r>
        <w:t xml:space="preserve">Roadmap в формате «инвест‑слайдов»</w:t>
      </w:r>
    </w:p>
    <w:p>
      <w:pPr>
        <w:pStyle w:val="FirstParagraph"/>
      </w:pPr>
      <w:r>
        <w:rPr>
          <w:b/>
          <w:bCs/>
        </w:rPr>
        <w:t xml:space="preserve">Q1–Q2:</w:t>
      </w:r>
      <w:r>
        <w:t xml:space="preserve"> </w:t>
      </w:r>
      <w:r>
        <w:t xml:space="preserve">MVP платформы (1–2 шаблона, 3–5 tools, наблюдаемость, canary, аудит).</w:t>
      </w:r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br/>
      </w:r>
      <w:r>
        <w:rPr>
          <w:b/>
          <w:bCs/>
        </w:rPr>
        <w:t xml:space="preserve">Q3:</w:t>
      </w:r>
      <w:r>
        <w:t xml:space="preserve"> </w:t>
      </w:r>
      <w:r>
        <w:t xml:space="preserve">CI с eval‑контуром, рост до 10–15 сценариев, multi‑tenant, policy engine.</w:t>
      </w:r>
      <w:r>
        <w:t xml:space="preserve"> </w:t>
      </w:r>
      <w:hyperlink r:id="rId46">
        <w:r>
          <w:rPr>
            <w:rStyle w:val="Hyperlink"/>
          </w:rPr>
          <w:t xml:space="preserve">[53]</w:t>
        </w:r>
      </w:hyperlink>
      <w:r>
        <w:br/>
      </w:r>
      <w:r>
        <w:rPr>
          <w:b/>
          <w:bCs/>
        </w:rPr>
        <w:t xml:space="preserve">Q4+:</w:t>
      </w:r>
      <w:r>
        <w:t xml:space="preserve"> </w:t>
      </w:r>
      <w:r>
        <w:t xml:space="preserve">marketplace, расширение доменов (финтех/ритейл/телко), комплаенс‑пакеты под EU AI Act timeline 2026.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82"/>
    <w:bookmarkStart w:id="83" w:name="запрос-инвестиций-и-на-что-тратим"/>
    <w:p>
      <w:pPr>
        <w:pStyle w:val="Heading3"/>
      </w:pPr>
      <w:r>
        <w:t xml:space="preserve">Запрос инвестиций и «на что тратим»</w:t>
      </w:r>
    </w:p>
    <w:p>
      <w:pPr>
        <w:pStyle w:val="Compact"/>
        <w:numPr>
          <w:ilvl w:val="0"/>
          <w:numId w:val="1012"/>
        </w:numPr>
      </w:pPr>
      <w:r>
        <w:t xml:space="preserve">40–50%: платформа (оркестрация, tool gateway, policy engine, SRE/observability)</w:t>
      </w:r>
    </w:p>
    <w:p>
      <w:pPr>
        <w:pStyle w:val="Compact"/>
        <w:numPr>
          <w:ilvl w:val="0"/>
          <w:numId w:val="1012"/>
        </w:numPr>
      </w:pPr>
      <w:r>
        <w:t xml:space="preserve">25–35%: quality &amp; eval (датасеты, red teaming, регрессии, автоматизация canary/rollback)</w:t>
      </w:r>
      <w:r>
        <w:t xml:space="preserve"> </w:t>
      </w:r>
      <w:hyperlink r:id="rId38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12"/>
        </w:numPr>
      </w:pPr>
      <w:r>
        <w:t xml:space="preserve">15–25%: интеграции и go‑to‑market (design partners, первые индустрии)</w:t>
      </w:r>
    </w:p>
    <w:p>
      <w:pPr>
        <w:pStyle w:val="FirstParagraph"/>
      </w:pPr>
      <w:r>
        <w:t xml:space="preserve">Суть истории для инвестора: вы строите не «ассистента», а</w:t>
      </w:r>
      <w:r>
        <w:t xml:space="preserve"> </w:t>
      </w:r>
      <w:r>
        <w:rPr>
          <w:b/>
          <w:bCs/>
        </w:rPr>
        <w:t xml:space="preserve">инфраструктуру управляемой автономности</w:t>
      </w:r>
      <w:r>
        <w:t xml:space="preserve">, которая превращает агентные обещания в контрактно‑тестируемые, релиз‑управляемые, комплаенс‑готовые сценарии.</w:t>
      </w:r>
      <w:r>
        <w:t xml:space="preserve"> </w:t>
      </w:r>
      <w:hyperlink r:id="rId74">
        <w:r>
          <w:rPr>
            <w:rStyle w:val="Hyperlink"/>
          </w:rPr>
          <w:t xml:space="preserve">[55]</w:t>
        </w:r>
      </w:hyperlink>
    </w:p>
    <w:bookmarkEnd w:id="83"/>
    <w:bookmarkEnd w:id="84"/>
    <w:bookmarkEnd w:id="85"/>
    <w:bookmarkEnd w:id="86"/>
    <w:p>
      <w:r>
        <w:pict>
          <v:rect style="width:0;height:1.5pt" o:hralign="center" o:hrstd="t" o:hr="t"/>
        </w:pict>
      </w:r>
    </w:p>
    <w:bookmarkStart w:id="8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What is Temporal? | Temporal Platform Documentation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https://docs.temporal.io/temporal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AI Risk Management Framework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https://www.nist.gov/itl/ai-risk-management-framework?utm_source=chatgpt.com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Saga Design Pattern - Azure Architecture Center</w:t>
      </w:r>
    </w:p>
    <w:p>
      <w:pPr>
        <w:pStyle w:val="BodyText"/>
      </w:pPr>
      <w:hyperlink r:id="rId24">
        <w:r>
          <w:rPr>
            <w:rStyle w:val="Hyperlink"/>
          </w:rPr>
          <w:t xml:space="preserve">https://learn.microsoft.com/en-us/azure/architecture/patterns/saga?utm_source=chatgpt.com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Introduction | Apache Kafka</w:t>
      </w:r>
    </w:p>
    <w:p>
      <w:pPr>
        <w:pStyle w:val="BodyText"/>
      </w:pPr>
      <w:hyperlink r:id="rId25">
        <w:r>
          <w:rPr>
            <w:rStyle w:val="Hyperlink"/>
          </w:rPr>
          <w:t xml:space="preserve">https://kafka.apache.org/intro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Defining slo: service level objective meaning</w:t>
      </w:r>
    </w:p>
    <w:p>
      <w:pPr>
        <w:pStyle w:val="BodyText"/>
      </w:pPr>
      <w:hyperlink r:id="rId26">
        <w:r>
          <w:rPr>
            <w:rStyle w:val="Hyperlink"/>
          </w:rPr>
          <w:t xml:space="preserve">https://sre.google/sre-book/service-level-objectives/?utm_source=chatgpt.com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[21]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Canary Release: Deployment Safety and Efficiency</w:t>
      </w:r>
    </w:p>
    <w:p>
      <w:pPr>
        <w:pStyle w:val="BodyText"/>
      </w:pPr>
      <w:hyperlink r:id="rId27">
        <w:r>
          <w:rPr>
            <w:rStyle w:val="Hyperlink"/>
          </w:rPr>
          <w:t xml:space="preserve">https://sre.google/workbook/canarying-releases/?utm_source=chatgpt.com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OpenTelemetry Logging</w:t>
      </w:r>
    </w:p>
    <w:p>
      <w:pPr>
        <w:pStyle w:val="BodyText"/>
      </w:pPr>
      <w:hyperlink r:id="rId28">
        <w:r>
          <w:rPr>
            <w:rStyle w:val="Hyperlink"/>
          </w:rPr>
          <w:t xml:space="preserve">https://opentelemetry.io/docs/specs/otel/logs/?utm_source=chatgpt.com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Zero Trust Architecture - NIST Technical Series Publications</w:t>
      </w:r>
    </w:p>
    <w:p>
      <w:pPr>
        <w:pStyle w:val="BodyText"/>
      </w:pPr>
      <w:hyperlink r:id="rId29">
        <w:r>
          <w:rPr>
            <w:rStyle w:val="Hyperlink"/>
          </w:rPr>
          <w:t xml:space="preserve">https://nvlpubs.nist.gov/nistpubs/specialpublications/NIST.SP.800-207.pdf?utm_source=chatgpt.com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API1:2023 Broken Object Level Authorization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https://owasp.org/API-Security/editions/2023/en/0xa1-broken-object-level-authorization/?utm_source=chatgpt.com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OWASP Top 10 for Large Language Model Applications</w:t>
      </w:r>
    </w:p>
    <w:p>
      <w:pPr>
        <w:pStyle w:val="BodyText"/>
      </w:pPr>
      <w:hyperlink r:id="rId31">
        <w:r>
          <w:rPr>
            <w:rStyle w:val="Hyperlink"/>
          </w:rPr>
          <w:t xml:space="preserve">https://owasp.org/www-project-top-10-for-large-language-model-applications/?utm_source=chatgpt.com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Consolidated TEXT: 32016R0679 — EN — 04.05.2016</w:t>
      </w:r>
    </w:p>
    <w:p>
      <w:pPr>
        <w:pStyle w:val="BodyText"/>
      </w:pPr>
      <w:hyperlink r:id="rId32">
        <w:r>
          <w:rPr>
            <w:rStyle w:val="Hyperlink"/>
          </w:rPr>
          <w:t xml:space="preserve">https://eur-lex.europa.eu/legal-content/EN/TXT/HTML/?uri=CELEX%3A02016R0679-20160504&amp;utm_source=chatgpt.com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[43]</w:t>
        </w:r>
      </w:hyperlink>
      <w:r>
        <w:t xml:space="preserve"> </w:t>
      </w:r>
      <w:hyperlink r:id="rId3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AI Act | Shaping Europe's digital future - European Union</w:t>
      </w:r>
    </w:p>
    <w:p>
      <w:pPr>
        <w:pStyle w:val="BodyText"/>
      </w:pPr>
      <w:hyperlink r:id="rId33">
        <w:r>
          <w:rPr>
            <w:rStyle w:val="Hyperlink"/>
          </w:rPr>
          <w:t xml:space="preserve">https://digital-strategy.ec.europa.eu/en/policies/regulatory-framework-ai?utm_source=chatgpt.com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Function calling | OpenAI API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https://developers.openai.com/api/docs/guides/function-calling/?utm_source=chatgpt.com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Specification</w:t>
      </w:r>
    </w:p>
    <w:p>
      <w:pPr>
        <w:pStyle w:val="BodyText"/>
      </w:pPr>
      <w:hyperlink r:id="rId35">
        <w:r>
          <w:rPr>
            <w:rStyle w:val="Hyperlink"/>
          </w:rPr>
          <w:t xml:space="preserve">https://modelcontextprotocol.io/specification/2025-11-25?utm_source=chatgpt.com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Open Policy Agent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https://openpolicyagent.org/?utm_source=chatgpt.com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openai/evals: Evals is a framework for evaluating LLMs ...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https://github.com/openai/evals?utm_source=chatgpt.com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Introduction to Zeebe | Camunda 8 Docs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https://docs.camunda.io/docs/components/zeebe/zeebe-overview/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Retrieval-Augmented Generation for Knowledge-Intensive NLP Tasks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https://arxiv.org/abs/2005.11401?utm_source=chatgpt.com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Overview</w:t>
      </w:r>
    </w:p>
    <w:p>
      <w:pPr>
        <w:pStyle w:val="BodyText"/>
      </w:pPr>
      <w:hyperlink r:id="rId44">
        <w:r>
          <w:rPr>
            <w:rStyle w:val="Hyperlink"/>
          </w:rPr>
          <w:t xml:space="preserve">https://opentelemetry.io/docs/specs/otel/overview/?utm_source=chatgpt.com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6">
        <w:r>
          <w:rPr>
            <w:rStyle w:val="Hyperlink"/>
          </w:rPr>
          <w:t xml:space="preserve">[37]</w:t>
        </w:r>
      </w:hyperlink>
      <w:r>
        <w:t xml:space="preserve"> </w:t>
      </w:r>
      <w:hyperlink r:id="rId46">
        <w:r>
          <w:rPr>
            <w:rStyle w:val="Hyperlink"/>
          </w:rPr>
          <w:t xml:space="preserve">[49]</w:t>
        </w:r>
      </w:hyperlink>
      <w:r>
        <w:t xml:space="preserve"> </w:t>
      </w:r>
      <w:hyperlink r:id="rId4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Working with evals | OpenAI API</w:t>
      </w:r>
    </w:p>
    <w:p>
      <w:pPr>
        <w:pStyle w:val="BodyText"/>
      </w:pPr>
      <w:hyperlink r:id="rId46">
        <w:r>
          <w:rPr>
            <w:rStyle w:val="Hyperlink"/>
          </w:rPr>
          <w:t xml:space="preserve">https://developers.openai.com/api/docs/guides/evals/?utm_source=chatgpt.com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Introducing the MCP Registry | Model Context Protocol Blog</w:t>
      </w:r>
    </w:p>
    <w:p>
      <w:pPr>
        <w:pStyle w:val="BodyText"/>
      </w:pPr>
      <w:hyperlink r:id="rId48">
        <w:r>
          <w:rPr>
            <w:rStyle w:val="Hyperlink"/>
          </w:rPr>
          <w:t xml:space="preserve">https://blog.modelcontextprotocol.io/posts/2025-09-08-mcp-registry-preview/?utm_source=chatgpt.com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Introducing Codex</w:t>
      </w:r>
    </w:p>
    <w:p>
      <w:pPr>
        <w:pStyle w:val="BodyText"/>
      </w:pPr>
      <w:hyperlink r:id="rId50">
        <w:r>
          <w:rPr>
            <w:rStyle w:val="Hyperlink"/>
          </w:rPr>
          <w:t xml:space="preserve">https://openai.com/index/introducing-codex/?utm_source=chatgpt.com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Data Use &amp; Privacy Overview</w:t>
      </w:r>
    </w:p>
    <w:p>
      <w:pPr>
        <w:pStyle w:val="BodyText"/>
      </w:pPr>
      <w:hyperlink r:id="rId51">
        <w:r>
          <w:rPr>
            <w:rStyle w:val="Hyperlink"/>
          </w:rPr>
          <w:t xml:space="preserve">https://cursor.com/data-use?utm_source=chatgpt.com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OWASP Top 10 for LLM Applications 2025</w:t>
      </w:r>
    </w:p>
    <w:p>
      <w:pPr>
        <w:pStyle w:val="BodyText"/>
      </w:pPr>
      <w:hyperlink r:id="rId56">
        <w:r>
          <w:rPr>
            <w:rStyle w:val="Hyperlink"/>
          </w:rPr>
          <w:t xml:space="preserve">https://owasp.org/www-project-top-10-for-large-language-model-applications/assets/PDF/OWASP-Top-10-for-LLMs-v2025.pdf?utm_source=chatgpt.com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[33]</w:t>
        </w:r>
      </w:hyperlink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Idempotent requests | Stripe API Reference</w:t>
      </w:r>
    </w:p>
    <w:p>
      <w:pPr>
        <w:pStyle w:val="BodyText"/>
      </w:pPr>
      <w:hyperlink r:id="rId59">
        <w:r>
          <w:rPr>
            <w:rStyle w:val="Hyperlink"/>
          </w:rPr>
          <w:t xml:space="preserve">https://docs.stripe.com/api/idempotent_requests?utm_source=chatgpt.com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Events and Event History | Temporal Platform Documentation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https://docs.temporal.io/workflow-execution/event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Error Budget Policy for Service Reliability</w:t>
      </w:r>
    </w:p>
    <w:p>
      <w:pPr>
        <w:pStyle w:val="BodyText"/>
      </w:pPr>
      <w:hyperlink r:id="rId69">
        <w:r>
          <w:rPr>
            <w:rStyle w:val="Hyperlink"/>
          </w:rPr>
          <w:t xml:space="preserve">https://sre.google/workbook/error-budget-policy/?utm_source=chatgpt.com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[44]</w:t>
        </w:r>
      </w:hyperlink>
      <w:r>
        <w:t xml:space="preserve"> </w:t>
      </w:r>
      <w:hyperlink r:id="rId7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Announcing The Evaluation Of The Adaptive Process ...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https://www.forrester.com/blogs/announcing-the-evaluation-of-the-adaptive-process-orchestration-market/?utm_source=chatgpt.com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Economic potential of generative AI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https://www.mckinsey.com/capabilities/tech-and-ai/our-insights/the-economic-potential-of-generative-ai-the-next-productivity-frontier?utm_source=chatgpt.com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Unlocking exponential value with AI agent orchestration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https://www.deloitte.com/us/en/insights/industry/technology/technology-media-and-telecom-predictions/2026/ai-agent-orchestration.html?utm_source=chatgpt.com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The state of AI in early 2024: Gen AI adoption ...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https://www.mckinsey.com/capabilities/quantumblack/our-insights/the-state-of-ai-2024?utm_source=chatgpt.com</w:t>
        </w:r>
      </w:hyperlink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rxiv.org/abs/2005.11401?utm_source=chatgpt.com" TargetMode="External" /><Relationship Type="http://schemas.openxmlformats.org/officeDocument/2006/relationships/hyperlink" Id="rId48" Target="https://blog.modelcontextprotocol.io/posts/2025-09-08-mcp-registry-preview/?utm_source=chatgpt.com" TargetMode="External" /><Relationship Type="http://schemas.openxmlformats.org/officeDocument/2006/relationships/hyperlink" Id="rId51" Target="https://cursor.com/data-use?utm_source=chatgpt.com" TargetMode="External" /><Relationship Type="http://schemas.openxmlformats.org/officeDocument/2006/relationships/hyperlink" Id="rId46" Target="https://developers.openai.com/api/docs/guides/evals/?utm_source=chatgpt.com" TargetMode="External" /><Relationship Type="http://schemas.openxmlformats.org/officeDocument/2006/relationships/hyperlink" Id="rId34" Target="https://developers.openai.com/api/docs/guides/function-calling/?utm_source=chatgpt.com" TargetMode="External" /><Relationship Type="http://schemas.openxmlformats.org/officeDocument/2006/relationships/hyperlink" Id="rId33" Target="https://digital-strategy.ec.europa.eu/en/policies/regulatory-framework-ai?utm_source=chatgpt.com" TargetMode="External" /><Relationship Type="http://schemas.openxmlformats.org/officeDocument/2006/relationships/hyperlink" Id="rId39" Target="https://docs.camunda.io/docs/components/zeebe/zeebe-overview/" TargetMode="External" /><Relationship Type="http://schemas.openxmlformats.org/officeDocument/2006/relationships/hyperlink" Id="rId59" Target="https://docs.stripe.com/api/idempotent_requests?utm_source=chatgpt.com" TargetMode="External" /><Relationship Type="http://schemas.openxmlformats.org/officeDocument/2006/relationships/hyperlink" Id="rId21" Target="https://docs.temporal.io/temporal" TargetMode="External" /><Relationship Type="http://schemas.openxmlformats.org/officeDocument/2006/relationships/hyperlink" Id="rId61" Target="https://docs.temporal.io/workflow-execution/event" TargetMode="External" /><Relationship Type="http://schemas.openxmlformats.org/officeDocument/2006/relationships/hyperlink" Id="rId32" Target="https://eur-lex.europa.eu/legal-content/EN/TXT/HTML/?uri=CELEX%3A02016R0679-20160504&amp;utm_source=chatgpt.com" TargetMode="External" /><Relationship Type="http://schemas.openxmlformats.org/officeDocument/2006/relationships/hyperlink" Id="rId38" Target="https://github.com/openai/evals?utm_source=chatgpt.com" TargetMode="External" /><Relationship Type="http://schemas.openxmlformats.org/officeDocument/2006/relationships/hyperlink" Id="rId25" Target="https://kafka.apache.org/intro" TargetMode="External" /><Relationship Type="http://schemas.openxmlformats.org/officeDocument/2006/relationships/hyperlink" Id="rId24" Target="https://learn.microsoft.com/en-us/azure/architecture/patterns/saga?utm_source=chatgpt.com" TargetMode="External" /><Relationship Type="http://schemas.openxmlformats.org/officeDocument/2006/relationships/hyperlink" Id="rId35" Target="https://modelcontextprotocol.io/specification/2025-11-25?utm_source=chatgpt.com" TargetMode="External" /><Relationship Type="http://schemas.openxmlformats.org/officeDocument/2006/relationships/hyperlink" Id="rId29" Target="https://nvlpubs.nist.gov/nistpubs/specialpublications/NIST.SP.800-207.pdf?utm_source=chatgpt.com" TargetMode="External" /><Relationship Type="http://schemas.openxmlformats.org/officeDocument/2006/relationships/hyperlink" Id="rId50" Target="https://openai.com/index/introducing-codex/?utm_source=chatgpt.com" TargetMode="External" /><Relationship Type="http://schemas.openxmlformats.org/officeDocument/2006/relationships/hyperlink" Id="rId37" Target="https://openpolicyagent.org/?utm_source=chatgpt.com" TargetMode="External" /><Relationship Type="http://schemas.openxmlformats.org/officeDocument/2006/relationships/hyperlink" Id="rId28" Target="https://opentelemetry.io/docs/specs/otel/logs/?utm_source=chatgpt.com" TargetMode="External" /><Relationship Type="http://schemas.openxmlformats.org/officeDocument/2006/relationships/hyperlink" Id="rId44" Target="https://opentelemetry.io/docs/specs/otel/overview/?utm_source=chatgpt.com" TargetMode="External" /><Relationship Type="http://schemas.openxmlformats.org/officeDocument/2006/relationships/hyperlink" Id="rId30" Target="https://owasp.org/API-Security/editions/2023/en/0xa1-broken-object-level-authorization/?utm_source=chatgpt.com" TargetMode="External" /><Relationship Type="http://schemas.openxmlformats.org/officeDocument/2006/relationships/hyperlink" Id="rId31" Target="https://owasp.org/www-project-top-10-for-large-language-model-applications/?utm_source=chatgpt.com" TargetMode="External" /><Relationship Type="http://schemas.openxmlformats.org/officeDocument/2006/relationships/hyperlink" Id="rId56" Target="https://owasp.org/www-project-top-10-for-large-language-model-applications/assets/PDF/OWASP-Top-10-for-LLMs-v2025.pdf?utm_source=chatgpt.com" TargetMode="External" /><Relationship Type="http://schemas.openxmlformats.org/officeDocument/2006/relationships/hyperlink" Id="rId26" Target="https://sre.google/sre-book/service-level-objectives/?utm_source=chatgpt.com" TargetMode="External" /><Relationship Type="http://schemas.openxmlformats.org/officeDocument/2006/relationships/hyperlink" Id="rId27" Target="https://sre.google/workbook/canarying-releases/?utm_source=chatgpt.com" TargetMode="External" /><Relationship Type="http://schemas.openxmlformats.org/officeDocument/2006/relationships/hyperlink" Id="rId69" Target="https://sre.google/workbook/error-budget-policy/?utm_source=chatgpt.com" TargetMode="External" /><Relationship Type="http://schemas.openxmlformats.org/officeDocument/2006/relationships/hyperlink" Id="rId77" Target="https://www.deloitte.com/us/en/insights/industry/technology/technology-media-and-telecom-predictions/2026/ai-agent-orchestration.html?utm_source=chatgpt.com" TargetMode="External" /><Relationship Type="http://schemas.openxmlformats.org/officeDocument/2006/relationships/hyperlink" Id="rId74" Target="https://www.forrester.com/blogs/announcing-the-evaluation-of-the-adaptive-process-orchestration-market/?utm_source=chatgpt.com" TargetMode="External" /><Relationship Type="http://schemas.openxmlformats.org/officeDocument/2006/relationships/hyperlink" Id="rId78" Target="https://www.mckinsey.com/capabilities/quantumblack/our-insights/the-state-of-ai-2024?utm_source=chatgpt.com" TargetMode="External" /><Relationship Type="http://schemas.openxmlformats.org/officeDocument/2006/relationships/hyperlink" Id="rId76" Target="https://www.mckinsey.com/capabilities/tech-and-ai/our-insights/the-economic-potential-of-generative-ai-the-next-productivity-frontier?utm_source=chatgpt.com" TargetMode="External" /><Relationship Type="http://schemas.openxmlformats.org/officeDocument/2006/relationships/hyperlink" Id="rId23" Target="https://www.nist.gov/itl/ai-risk-management-framework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rxiv.org/abs/2005.11401?utm_source=chatgpt.com" TargetMode="External" /><Relationship Type="http://schemas.openxmlformats.org/officeDocument/2006/relationships/hyperlink" Id="rId48" Target="https://blog.modelcontextprotocol.io/posts/2025-09-08-mcp-registry-preview/?utm_source=chatgpt.com" TargetMode="External" /><Relationship Type="http://schemas.openxmlformats.org/officeDocument/2006/relationships/hyperlink" Id="rId51" Target="https://cursor.com/data-use?utm_source=chatgpt.com" TargetMode="External" /><Relationship Type="http://schemas.openxmlformats.org/officeDocument/2006/relationships/hyperlink" Id="rId46" Target="https://developers.openai.com/api/docs/guides/evals/?utm_source=chatgpt.com" TargetMode="External" /><Relationship Type="http://schemas.openxmlformats.org/officeDocument/2006/relationships/hyperlink" Id="rId34" Target="https://developers.openai.com/api/docs/guides/function-calling/?utm_source=chatgpt.com" TargetMode="External" /><Relationship Type="http://schemas.openxmlformats.org/officeDocument/2006/relationships/hyperlink" Id="rId33" Target="https://digital-strategy.ec.europa.eu/en/policies/regulatory-framework-ai?utm_source=chatgpt.com" TargetMode="External" /><Relationship Type="http://schemas.openxmlformats.org/officeDocument/2006/relationships/hyperlink" Id="rId39" Target="https://docs.camunda.io/docs/components/zeebe/zeebe-overview/" TargetMode="External" /><Relationship Type="http://schemas.openxmlformats.org/officeDocument/2006/relationships/hyperlink" Id="rId59" Target="https://docs.stripe.com/api/idempotent_requests?utm_source=chatgpt.com" TargetMode="External" /><Relationship Type="http://schemas.openxmlformats.org/officeDocument/2006/relationships/hyperlink" Id="rId21" Target="https://docs.temporal.io/temporal" TargetMode="External" /><Relationship Type="http://schemas.openxmlformats.org/officeDocument/2006/relationships/hyperlink" Id="rId61" Target="https://docs.temporal.io/workflow-execution/event" TargetMode="External" /><Relationship Type="http://schemas.openxmlformats.org/officeDocument/2006/relationships/hyperlink" Id="rId32" Target="https://eur-lex.europa.eu/legal-content/EN/TXT/HTML/?uri=CELEX%3A02016R0679-20160504&amp;utm_source=chatgpt.com" TargetMode="External" /><Relationship Type="http://schemas.openxmlformats.org/officeDocument/2006/relationships/hyperlink" Id="rId38" Target="https://github.com/openai/evals?utm_source=chatgpt.com" TargetMode="External" /><Relationship Type="http://schemas.openxmlformats.org/officeDocument/2006/relationships/hyperlink" Id="rId25" Target="https://kafka.apache.org/intro" TargetMode="External" /><Relationship Type="http://schemas.openxmlformats.org/officeDocument/2006/relationships/hyperlink" Id="rId24" Target="https://learn.microsoft.com/en-us/azure/architecture/patterns/saga?utm_source=chatgpt.com" TargetMode="External" /><Relationship Type="http://schemas.openxmlformats.org/officeDocument/2006/relationships/hyperlink" Id="rId35" Target="https://modelcontextprotocol.io/specification/2025-11-25?utm_source=chatgpt.com" TargetMode="External" /><Relationship Type="http://schemas.openxmlformats.org/officeDocument/2006/relationships/hyperlink" Id="rId29" Target="https://nvlpubs.nist.gov/nistpubs/specialpublications/NIST.SP.800-207.pdf?utm_source=chatgpt.com" TargetMode="External" /><Relationship Type="http://schemas.openxmlformats.org/officeDocument/2006/relationships/hyperlink" Id="rId50" Target="https://openai.com/index/introducing-codex/?utm_source=chatgpt.com" TargetMode="External" /><Relationship Type="http://schemas.openxmlformats.org/officeDocument/2006/relationships/hyperlink" Id="rId37" Target="https://openpolicyagent.org/?utm_source=chatgpt.com" TargetMode="External" /><Relationship Type="http://schemas.openxmlformats.org/officeDocument/2006/relationships/hyperlink" Id="rId28" Target="https://opentelemetry.io/docs/specs/otel/logs/?utm_source=chatgpt.com" TargetMode="External" /><Relationship Type="http://schemas.openxmlformats.org/officeDocument/2006/relationships/hyperlink" Id="rId44" Target="https://opentelemetry.io/docs/specs/otel/overview/?utm_source=chatgpt.com" TargetMode="External" /><Relationship Type="http://schemas.openxmlformats.org/officeDocument/2006/relationships/hyperlink" Id="rId30" Target="https://owasp.org/API-Security/editions/2023/en/0xa1-broken-object-level-authorization/?utm_source=chatgpt.com" TargetMode="External" /><Relationship Type="http://schemas.openxmlformats.org/officeDocument/2006/relationships/hyperlink" Id="rId31" Target="https://owasp.org/www-project-top-10-for-large-language-model-applications/?utm_source=chatgpt.com" TargetMode="External" /><Relationship Type="http://schemas.openxmlformats.org/officeDocument/2006/relationships/hyperlink" Id="rId56" Target="https://owasp.org/www-project-top-10-for-large-language-model-applications/assets/PDF/OWASP-Top-10-for-LLMs-v2025.pdf?utm_source=chatgpt.com" TargetMode="External" /><Relationship Type="http://schemas.openxmlformats.org/officeDocument/2006/relationships/hyperlink" Id="rId26" Target="https://sre.google/sre-book/service-level-objectives/?utm_source=chatgpt.com" TargetMode="External" /><Relationship Type="http://schemas.openxmlformats.org/officeDocument/2006/relationships/hyperlink" Id="rId27" Target="https://sre.google/workbook/canarying-releases/?utm_source=chatgpt.com" TargetMode="External" /><Relationship Type="http://schemas.openxmlformats.org/officeDocument/2006/relationships/hyperlink" Id="rId69" Target="https://sre.google/workbook/error-budget-policy/?utm_source=chatgpt.com" TargetMode="External" /><Relationship Type="http://schemas.openxmlformats.org/officeDocument/2006/relationships/hyperlink" Id="rId77" Target="https://www.deloitte.com/us/en/insights/industry/technology/technology-media-and-telecom-predictions/2026/ai-agent-orchestration.html?utm_source=chatgpt.com" TargetMode="External" /><Relationship Type="http://schemas.openxmlformats.org/officeDocument/2006/relationships/hyperlink" Id="rId74" Target="https://www.forrester.com/blogs/announcing-the-evaluation-of-the-adaptive-process-orchestration-market/?utm_source=chatgpt.com" TargetMode="External" /><Relationship Type="http://schemas.openxmlformats.org/officeDocument/2006/relationships/hyperlink" Id="rId78" Target="https://www.mckinsey.com/capabilities/quantumblack/our-insights/the-state-of-ai-2024?utm_source=chatgpt.com" TargetMode="External" /><Relationship Type="http://schemas.openxmlformats.org/officeDocument/2006/relationships/hyperlink" Id="rId76" Target="https://www.mckinsey.com/capabilities/tech-and-ai/our-insights/the-economic-potential-of-generative-ai-the-next-productivity-frontier?utm_source=chatgpt.com" TargetMode="External" /><Relationship Type="http://schemas.openxmlformats.org/officeDocument/2006/relationships/hyperlink" Id="rId23" Target="https://www.nist.gov/itl/ai-risk-management-framework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2026-03-04T05:54:34Z</dcterms:created>
  <dcterms:modified xsi:type="dcterms:W3CDTF">2026-03-04T05:54:34Z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