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Table: Significance Patterns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04"/>
        <w:gridCol w:w="2440"/>
        <w:gridCol w:w="2367"/>
        <w:gridCol w:w="2575"/>
        <w:gridCol w:w="2502"/>
        <w:gridCol w:w="2306"/>
        <w:gridCol w:w="2233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extHotYes_p.value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extDryTYes_p.value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No_Spec_statistic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No_Spec_p.value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 nodes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Connectance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Modularity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0.3326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Node duration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 skewness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edges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Edge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Skewness edge freq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Memory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0.0173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Burstiness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0.0288</w:t>
            </w:r>
          </w:p>
        </w:tc>
      </w:tr>
      <w:tr>
        <w:trPr>
          <w:trHeight w:val="572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2026-02-17T16:42:43Z</dcterms:modified>
  <cp:category/>
</cp:coreProperties>
</file>