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Significance Patterns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04"/>
        <w:gridCol w:w="1792"/>
        <w:gridCol w:w="1719"/>
        <w:gridCol w:w="1792"/>
        <w:gridCol w:w="1719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PC1_statistic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PC1_p.value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PC2_statistic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PC2_p.value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Unique nodes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0.0766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Connectance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0.0116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Modularity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0.0072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0.0036</w:t>
            </w:r>
          </w:p>
        </w:tc>
      </w:tr>
      <w:tr>
        <w:trPr>
          <w:trHeight w:val="57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0.0138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0.0240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duration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0.2952</w:t>
            </w:r>
          </w:p>
        </w:tc>
      </w:tr>
      <w:tr>
        <w:trPr>
          <w:trHeight w:val="57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Duration skewness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0.0297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edges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0.3491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Edge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0.0310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 edge freq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Memory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0.6312</w:t>
            </w:r>
          </w:p>
        </w:tc>
      </w:tr>
      <w:tr>
        <w:trPr>
          <w:trHeight w:val="57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Burstiness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0.0071</w:t>
            </w:r>
          </w:p>
        </w:tc>
      </w:tr>
      <w:tr>
        <w:trPr>
          <w:trHeight w:val="572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 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2026-02-17T17:08:45Z</dcterms:modified>
  <cp:category/>
</cp:coreProperties>
</file>