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Significance Patterns - AnovaPCATable_gap_2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1792"/>
        <w:gridCol w:w="1719"/>
        <w:gridCol w:w="1792"/>
        <w:gridCol w:w="1719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PC2_p.value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Unique_Nodes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0.0139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0.3293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Connectance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0.0354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modularity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0.0623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0.0804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Distance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0.0037</w:t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freqStateAv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0.1003</w:t>
            </w:r>
          </w:p>
        </w:tc>
      </w:tr>
      <w:tr>
        <w:trPr>
          <w:trHeight w:val="57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meanDurAv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0.7353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skewDur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0.0329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TotalEdges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0.5015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ave_Edge_weight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0.1619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skewEdge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0.0018</w:t>
            </w:r>
          </w:p>
        </w:tc>
      </w:tr>
      <w:tr>
        <w:trPr>
          <w:trHeight w:val="57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0.0041</w:t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time_memory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0.6964</w:t>
            </w:r>
          </w:p>
        </w:tc>
      </w:tr>
      <w:tr>
        <w:trPr>
          <w:trHeight w:val="572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event.rate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2026-02-24T11:15:05Z</dcterms:modified>
  <cp:category/>
</cp:coreProperties>
</file>