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Pond and Cycle effect for Anova_PondCycle_G1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961"/>
        <w:gridCol w:w="1084"/>
        <w:gridCol w:w="839"/>
        <w:gridCol w:w="1084"/>
        <w:gridCol w:w="839"/>
        <w:gridCol w:w="1084"/>
      </w:tblGrid>
      <w:tr>
        <w:trPr>
          <w:trHeight w:val="614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cycle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pond:cycle</w:t>
            </w:r>
          </w:p>
        </w:tc>
      </w:tr>
      <w:tr>
        <w:trPr>
          <w:trHeight w:val="571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0.0842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0.1263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0.0126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0.0051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0.2960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0.0420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0.0033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0.1231</w:t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2026-02-03T14:26:08Z</dcterms:modified>
  <cp:category/>
</cp:coreProperties>
</file>