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Pond and Cycle effect for Anova_PondCycle_G3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4"/>
        <w:gridCol w:w="961"/>
        <w:gridCol w:w="1084"/>
        <w:gridCol w:w="839"/>
        <w:gridCol w:w="1084"/>
        <w:gridCol w:w="839"/>
        <w:gridCol w:w="1084"/>
      </w:tblGrid>
      <w:tr>
        <w:trPr>
          <w:trHeight w:val="614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pond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cycle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pond:cycle</w:t>
            </w:r>
          </w:p>
        </w:tc>
      </w:tr>
      <w:tr>
        <w:trPr>
          <w:trHeight w:val="571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Unique nodes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Connectance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0.0506</w:t>
            </w:r>
          </w:p>
        </w:tc>
      </w:tr>
      <w:tr>
        <w:trPr>
          <w:trHeight w:val="57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0.1077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Modularity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0.0094</w:t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0.0037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0.0206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Duration skewness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0.2569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edges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0.0035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Edge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0.0009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Skewness edge freq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0.0555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Burstiness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0.0166</w:t>
            </w:r>
          </w:p>
        </w:tc>
      </w:tr>
      <w:tr>
        <w:trPr>
          <w:trHeight w:val="57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0.1231</w:t>
            </w:r>
          </w:p>
        </w:tc>
      </w:tr>
      <w:tr>
        <w:trPr>
          <w:trHeight w:val="614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2026-02-03T14:26:13Z</dcterms:modified>
  <cp:category/>
</cp:coreProperties>
</file>