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Significance Patterns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04"/>
        <w:gridCol w:w="2440"/>
        <w:gridCol w:w="2367"/>
        <w:gridCol w:w="2575"/>
        <w:gridCol w:w="2502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extHotYes_statistic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extHotYes_p.value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extDryTYes_statistic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extDryTYes_p.value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Unique nodes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0.0036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Connectance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0.0051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Modularity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0.0006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distance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0.0027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0.1007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duration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0.0465</w:t>
            </w:r>
          </w:p>
        </w:tc>
      </w:tr>
      <w:tr>
        <w:trPr>
          <w:trHeight w:val="57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Duration skewness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0.0032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edges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0.0217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Edge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0.0059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Skewness edge freq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0.0001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Memory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0.0270</w:t>
            </w:r>
          </w:p>
        </w:tc>
      </w:tr>
      <w:tr>
        <w:trPr>
          <w:trHeight w:val="57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Burstiness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0.1265</w:t>
            </w:r>
          </w:p>
        </w:tc>
      </w:tr>
      <w:tr>
        <w:trPr>
          <w:trHeight w:val="571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 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0.2785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2026-03-06T13:52:14Z</dcterms:modified>
  <cp:category/>
</cp:coreProperties>
</file>