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0"/>
        <w:jc w:val="left"/>
      </w:pPr>
      <w:r>
        <w:rPr>
          <w:rFonts w:ascii="Arial" w:hAnsi="Arial"/>
          <w:b/>
          <w:color w:val="000000"/>
          <w:sz w:val="56"/>
        </w:rPr>
        <w:t>Software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Software / Tool</w:t>
            </w:r>
          </w:p>
        </w:tc>
        <w:tc>
          <w:tcPr>
            <w:tcW w:type="dxa" w:w="576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Python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Core system development and backend environment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FastAPI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High-performance backend API routing and server framework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React.js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Interactive real-time web dashboard interface development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Electron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Native cross-platform desktop application containerization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MediaPipe Face Mesh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Real-time client-side face landmark and attention tracking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SQLite / PostgreSQL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Database system for storing meetings, credentials, and warning logs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Socket.io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Bi-directional WebSocket connection for instant alerts and scores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Vite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Build tool and hot module replacement server for frontend compilation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Visual Studio Code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Code editor and local debugging suite</w:t>
            </w:r>
          </w:p>
        </w:tc>
      </w:tr>
    </w:tbl>
    <w:p>
      <w:r>
        <w:br w:type="page"/>
      </w:r>
    </w:p>
    <w:p>
      <w:pPr>
        <w:pStyle w:val="Heading1"/>
        <w:spacing w:after="400"/>
      </w:pPr>
      <w:r>
        <w:rPr>
          <w:rFonts w:ascii="Arial" w:hAnsi="Arial"/>
          <w:b/>
          <w:color w:val="000000"/>
          <w:sz w:val="56"/>
        </w:rPr>
        <w:t>Hardware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576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Client Webcam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Capture real-time user video streams and face landmarks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Microphone &amp; Speakers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Record voice input and play alert audio / WebRTC streams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Display Unit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Renders meeting video feeds, scoreboard panel, and dashboard charts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Client PC / Mobile CPU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Processes client-side MediaPipe landmark logs and overlays locally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WebRTC Signaling Server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Coordinates room negotiation and network traversal handshakes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Persistent DB Storage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Stores credentials, scheduled sessions, and session focus history logs</w:t>
            </w:r>
          </w:p>
        </w:tc>
      </w:tr>
    </w:tbl>
    <w:p>
      <w:r>
        <w:br w:type="page"/>
      </w:r>
    </w:p>
    <w:p>
      <w:pPr>
        <w:pStyle w:val="Heading1"/>
        <w:spacing w:after="400"/>
      </w:pPr>
      <w:r>
        <w:rPr>
          <w:rFonts w:ascii="Arial" w:hAnsi="Arial"/>
          <w:b/>
          <w:color w:val="000000"/>
          <w:sz w:val="56"/>
        </w:rPr>
        <w:t>Assumptions and Dependencies</w:t>
      </w:r>
    </w:p>
    <w:p>
      <w:pPr>
        <w:spacing w:after="160"/>
      </w:pPr>
      <w:r>
        <w:rPr>
          <w:rFonts w:ascii="Arial" w:hAnsi="Arial"/>
          <w:b/>
          <w:color w:val="000000"/>
          <w:sz w:val="28"/>
        </w:rPr>
        <w:t>Assumptions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Users are authorized to join and participate in the monitored meeting session.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Webcams and microphones are properly connected and permissions are granted by users.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The participant's environment has adequate lighting for accurate landmark mesh identification.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Stable network connectivity is available between the Web/Desktop client and the hosted API.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Authorized hosts will initialize valid meeting room codes for participants to join.</w:t>
      </w:r>
    </w:p>
    <w:p>
      <w:r>
        <w:br/>
      </w:r>
    </w:p>
    <w:p>
      <w:pPr>
        <w:spacing w:after="160"/>
      </w:pPr>
      <w:r>
        <w:rPr>
          <w:rFonts w:ascii="Arial" w:hAnsi="Arial"/>
          <w:b/>
          <w:color w:val="000000"/>
          <w:sz w:val="28"/>
        </w:rPr>
        <w:t>Dependencies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Google MediaPipe CDN availability</w:t>
      </w:r>
      <w:r>
        <w:rPr>
          <w:rFonts w:ascii="Arial" w:hAnsi="Arial"/>
          <w:sz w:val="22"/>
        </w:rPr>
        <w:t xml:space="preserve"> is essential to load the face landmark tracking files dynamically in the client browser.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Camera and hardware capture capability</w:t>
      </w:r>
      <w:r>
        <w:rPr>
          <w:rFonts w:ascii="Arial" w:hAnsi="Arial"/>
          <w:sz w:val="22"/>
        </w:rPr>
        <w:t xml:space="preserve"> directly affects real-time attention score calculations.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Stable network connectivity</w:t>
      </w:r>
      <w:r>
        <w:rPr>
          <w:rFonts w:ascii="Arial" w:hAnsi="Arial"/>
          <w:sz w:val="22"/>
        </w:rPr>
        <w:t xml:space="preserve"> is required for signaling room synchronization and screen sharing.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Backend service and database availability</w:t>
      </w:r>
      <w:r>
        <w:rPr>
          <w:rFonts w:ascii="Arial" w:hAnsi="Arial"/>
          <w:sz w:val="22"/>
        </w:rPr>
        <w:t xml:space="preserve"> directly impact user account login verifications and session history reporting.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Public Google STUN servers</w:t>
      </w:r>
      <w:r>
        <w:rPr>
          <w:rFonts w:ascii="Arial" w:hAnsi="Arial"/>
          <w:sz w:val="22"/>
        </w:rPr>
        <w:t xml:space="preserve"> are required for WebRTC peer-to-peer NAT traversal connection bindings.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