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Arial" w:hAnsi="Arial"/>
          <w:b/>
          <w:color w:val="000000"/>
          <w:sz w:val="56"/>
        </w:rPr>
        <w:t>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Software / Tool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MediaPipe Face Mesh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Real-time client-side face landmark and attention tracking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React.js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Interactive real-time web dashboard interface development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FastAPI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High-performance backend API routing and server framework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Electron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Native cross-platform desktop application containerization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Socket.io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Bi-directional WebSocket connection for instant alerts and scores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PostgreSQL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Relational database system for storing user profiles and meeting logs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Hardware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Webcam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Capture real-time user video streams and face landmarks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Server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Run FastAPI backend, host database, and handle Socket.io connections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CPU/GPU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Processes client-side landmark calculations and overlays locally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Display Unit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Renders conference video feeds, scoreboard panels, and dashboard charts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Assumptions and Dependencies</w:t>
      </w:r>
    </w:p>
    <w:p>
      <w:pPr>
        <w:spacing w:after="160"/>
      </w:pPr>
      <w:r>
        <w:rPr>
          <w:rFonts w:ascii="Arial" w:hAnsi="Arial"/>
          <w:b/>
          <w:sz w:val="28"/>
        </w:rPr>
        <w:t>Assumptions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Webcams are properly connected and permissions are granted by users.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participant's environment has adequate lighting for face tracking.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web browsers support WebGL and WebAssembly for GPU acceleration.</w:t>
      </w:r>
    </w:p>
    <w:p>
      <w:r>
        <w:br/>
      </w:r>
    </w:p>
    <w:p>
      <w:pPr>
        <w:spacing w:after="160"/>
      </w:pPr>
      <w:r>
        <w:rPr>
          <w:rFonts w:ascii="Arial" w:hAnsi="Arial"/>
          <w:b/>
          <w:sz w:val="28"/>
        </w:rPr>
        <w:t>Dependencies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Google MediaPipe CDN availability</w:t>
      </w:r>
      <w:r>
        <w:rPr>
          <w:rFonts w:ascii="Arial" w:hAnsi="Arial"/>
          <w:sz w:val="22"/>
        </w:rPr>
        <w:t xml:space="preserve"> is required to load face landmark models.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Hosted Database Uptime</w:t>
      </w:r>
      <w:r>
        <w:rPr>
          <w:rFonts w:ascii="Arial" w:hAnsi="Arial"/>
          <w:sz w:val="22"/>
        </w:rPr>
        <w:t xml:space="preserve"> directly impacts credentials and report storage.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WebRTC Signaling Server</w:t>
      </w:r>
      <w:r>
        <w:rPr>
          <w:rFonts w:ascii="Arial" w:hAnsi="Arial"/>
          <w:sz w:val="22"/>
        </w:rPr>
        <w:t xml:space="preserve"> is required to establish peer connections.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