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</w:pPr>
      <w:r>
        <w:rPr>
          <w:rFonts w:ascii="Arial" w:hAnsi="Arial"/>
          <w:b/>
          <w:color w:val="000000"/>
          <w:sz w:val="56"/>
        </w:rPr>
        <w:t>Software Requirements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3b75c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Software / Tool</w:t>
            </w:r>
          </w:p>
        </w:tc>
        <w:tc>
          <w:tcPr>
            <w:tcW w:type="dxa" w:w="5760"/>
            <w:shd w:val="clear" w:color="auto" w:fill="3b75c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MediaPipe Face Mesh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Real-time client-side face landmark and attention tracking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React.js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Interactive real-time web dashboard interface development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FastAPI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High-performance backend API routing and server framework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Electron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Native cross-platform desktop application containerization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Socket.io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Bi-directional WebSocket connection for instant alerts and scores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PostgreSQL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Relational database system for storing user profiles and meeting logs</w:t>
            </w:r>
          </w:p>
        </w:tc>
      </w:tr>
    </w:tbl>
    <w:p>
      <w:r>
        <w:br w:type="page"/>
      </w:r>
    </w:p>
    <w:p>
      <w:pPr>
        <w:spacing w:after="400"/>
      </w:pPr>
      <w:r>
        <w:rPr>
          <w:rFonts w:ascii="Arial" w:hAnsi="Arial"/>
          <w:b/>
          <w:color w:val="000000"/>
          <w:sz w:val="56"/>
        </w:rPr>
        <w:t>Hardware Requirements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3b75c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Component</w:t>
            </w:r>
          </w:p>
        </w:tc>
        <w:tc>
          <w:tcPr>
            <w:tcW w:type="dxa" w:w="5760"/>
            <w:shd w:val="clear" w:color="auto" w:fill="3b75c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Client Webcam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Capture real-time user video streams and face landmarks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Server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Run FastAPI backend, host database, and handle Socket.io connections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Client CPU/GPU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Processes client-side landmark calculations and overlays locally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Display Unit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Renders conference video feeds, scoreboard panels, and dashboard charts</w:t>
            </w:r>
          </w:p>
        </w:tc>
      </w:tr>
    </w:tbl>
    <w:p>
      <w:r>
        <w:br w:type="page"/>
      </w:r>
    </w:p>
    <w:p>
      <w:pPr>
        <w:spacing w:after="400"/>
      </w:pPr>
      <w:r>
        <w:rPr>
          <w:rFonts w:ascii="Arial" w:hAnsi="Arial"/>
          <w:b/>
          <w:color w:val="000000"/>
          <w:sz w:val="56"/>
        </w:rPr>
        <w:t>Assumptions and Dependencies</w:t>
      </w:r>
    </w:p>
    <w:p>
      <w:pPr>
        <w:spacing w:after="160"/>
      </w:pPr>
      <w:r>
        <w:rPr>
          <w:rFonts w:ascii="Arial" w:hAnsi="Arial"/>
          <w:b/>
          <w:sz w:val="28"/>
        </w:rPr>
        <w:t>Assumptions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Webcams are properly connected and permissions are granted by users.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The participant's environment has adequate lighting for face tracking.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Client web browsers support WebGL and WebAssembly for GPU acceleration.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Local network firewalls do not block outgoing WebSocket data channels.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Client systems have active audio output devices for inattention warning beeps.</w:t>
      </w:r>
    </w:p>
    <w:p>
      <w:r>
        <w:br/>
      </w:r>
    </w:p>
    <w:p>
      <w:pPr>
        <w:spacing w:after="160"/>
      </w:pPr>
      <w:r>
        <w:rPr>
          <w:rFonts w:ascii="Arial" w:hAnsi="Arial"/>
          <w:b/>
          <w:sz w:val="28"/>
        </w:rPr>
        <w:t>Dependencies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Google MediaPipe CDN availability</w:t>
      </w:r>
      <w:r>
        <w:rPr>
          <w:rFonts w:ascii="Arial" w:hAnsi="Arial"/>
          <w:sz w:val="22"/>
        </w:rPr>
        <w:t xml:space="preserve"> is required to load face landmark models.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Hosted Database Uptime</w:t>
      </w:r>
      <w:r>
        <w:rPr>
          <w:rFonts w:ascii="Arial" w:hAnsi="Arial"/>
          <w:sz w:val="22"/>
        </w:rPr>
        <w:t xml:space="preserve"> directly impacts credentials and report storage.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WebRTC Signaling Server</w:t>
      </w:r>
      <w:r>
        <w:rPr>
          <w:rFonts w:ascii="Arial" w:hAnsi="Arial"/>
          <w:sz w:val="22"/>
        </w:rPr>
        <w:t xml:space="preserve"> is required to establish peer connections.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Public STUN/TURN Servers</w:t>
      </w:r>
      <w:r>
        <w:rPr>
          <w:rFonts w:ascii="Arial" w:hAnsi="Arial"/>
          <w:sz w:val="22"/>
        </w:rPr>
        <w:t xml:space="preserve"> are required to negotiate NAT traversal for remote video stream synchronization.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Local audio/video media tracks</w:t>
      </w:r>
      <w:r>
        <w:rPr>
          <w:rFonts w:ascii="Arial" w:hAnsi="Arial"/>
          <w:sz w:val="22"/>
        </w:rPr>
        <w:t xml:space="preserve"> must be enabled to transmit active attention scores.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