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EB5F00"/>
          <w:sz w:val="34"/>
        </w:rPr>
        <w:t>YUVA INTERNSHIP</w:t>
      </w:r>
    </w:p>
    <w:p>
      <w:pPr>
        <w:pStyle w:val="Title"/>
        <w:spacing w:before="360"/>
        <w:jc w:val="center"/>
      </w:pPr>
      <w:r>
        <w:t>SECURITY FUNDAMENTALS</w:t>
        <w:br/>
        <w:t>ASSESSMENT</w:t>
      </w:r>
    </w:p>
    <w:p>
      <w:pPr>
        <w:spacing w:before="240"/>
        <w:jc w:val="center"/>
      </w:pPr>
      <w:r>
        <w:rPr>
          <w:i/>
          <w:color w:val="505A69"/>
          <w:sz w:val="26"/>
        </w:rPr>
        <w:t>A Practical Introduction to Security Operations Center (SOC) Concepts</w:t>
      </w:r>
    </w:p>
    <w:p/>
    <w:tbl>
      <w:tblPr>
        <w:tblW w:type="auto" w:w="0"/>
        <w:jc w:val="center"/>
        <w:tblLayout w:type="fixed"/>
        <w:tblLook w:firstColumn="1" w:firstRow="1" w:lastColumn="0" w:lastRow="0" w:noHBand="0" w:noVBand="1" w:val="04A0"/>
      </w:tblPr>
      <w:tblGrid>
        <w:gridCol w:w="2448"/>
        <w:gridCol w:w="5616"/>
      </w:tblGrid>
      <w:tr>
        <w:tc>
          <w:tcPr>
            <w:tcW w:type="dxa" w:w="5760"/>
            <w:vAlign w:val="center"/>
            <w:shd w:fill="EAF1F8"/>
          </w:tcPr>
          <w:p>
            <w:pPr>
              <w:spacing w:after="20"/>
            </w:pPr>
            <w:r/>
            <w:r>
              <w:rPr>
                <w:b/>
                <w:sz w:val="18"/>
              </w:rPr>
              <w:t>Submitted by</w:t>
            </w:r>
          </w:p>
        </w:tc>
        <w:tc>
          <w:tcPr>
            <w:tcW w:type="dxa" w:w="5760"/>
            <w:vAlign w:val="center"/>
          </w:tcPr>
          <w:p>
            <w:pPr>
              <w:spacing w:after="20"/>
            </w:pPr>
            <w:r/>
            <w:r>
              <w:rPr>
                <w:b w:val="0"/>
                <w:sz w:val="18"/>
              </w:rPr>
              <w:t>Vrushank Sabale</w:t>
            </w:r>
          </w:p>
        </w:tc>
      </w:tr>
      <w:tr>
        <w:tc>
          <w:tcPr>
            <w:tcW w:type="dxa" w:w="5760"/>
            <w:vAlign w:val="center"/>
            <w:shd w:fill="EAF1F8"/>
          </w:tcPr>
          <w:p>
            <w:pPr>
              <w:spacing w:after="20"/>
            </w:pPr>
            <w:r/>
            <w:r>
              <w:rPr>
                <w:b/>
                <w:sz w:val="18"/>
              </w:rPr>
              <w:t>Programme</w:t>
            </w:r>
          </w:p>
        </w:tc>
        <w:tc>
          <w:tcPr>
            <w:tcW w:type="dxa" w:w="5760"/>
            <w:vAlign w:val="center"/>
          </w:tcPr>
          <w:p>
            <w:pPr>
              <w:spacing w:after="20"/>
            </w:pPr>
            <w:r/>
            <w:r>
              <w:rPr>
                <w:b w:val="0"/>
                <w:sz w:val="18"/>
              </w:rPr>
              <w:t>Yuva Internship</w:t>
            </w:r>
          </w:p>
        </w:tc>
      </w:tr>
      <w:tr>
        <w:tc>
          <w:tcPr>
            <w:tcW w:type="dxa" w:w="5760"/>
            <w:vAlign w:val="center"/>
            <w:shd w:fill="EAF1F8"/>
          </w:tcPr>
          <w:p>
            <w:pPr>
              <w:spacing w:after="20"/>
            </w:pPr>
            <w:r/>
            <w:r>
              <w:rPr>
                <w:b/>
                <w:sz w:val="18"/>
              </w:rPr>
              <w:t>Assessment</w:t>
            </w:r>
          </w:p>
        </w:tc>
        <w:tc>
          <w:tcPr>
            <w:tcW w:type="dxa" w:w="5760"/>
            <w:vAlign w:val="center"/>
          </w:tcPr>
          <w:p>
            <w:pPr>
              <w:spacing w:after="20"/>
            </w:pPr>
            <w:r/>
            <w:r>
              <w:rPr>
                <w:b w:val="0"/>
                <w:sz w:val="18"/>
              </w:rPr>
              <w:t>Security Fundamentals Assessment</w:t>
            </w:r>
          </w:p>
        </w:tc>
      </w:tr>
      <w:tr>
        <w:tc>
          <w:tcPr>
            <w:tcW w:type="dxa" w:w="5760"/>
            <w:vAlign w:val="center"/>
            <w:shd w:fill="EAF1F8"/>
          </w:tcPr>
          <w:p>
            <w:pPr>
              <w:spacing w:after="20"/>
            </w:pPr>
            <w:r/>
            <w:r>
              <w:rPr>
                <w:b/>
                <w:sz w:val="18"/>
              </w:rPr>
              <w:t>Submission date</w:t>
            </w:r>
          </w:p>
        </w:tc>
        <w:tc>
          <w:tcPr>
            <w:tcW w:type="dxa" w:w="5760"/>
            <w:vAlign w:val="center"/>
          </w:tcPr>
          <w:p>
            <w:pPr>
              <w:spacing w:after="20"/>
            </w:pPr>
            <w:r/>
            <w:r>
              <w:rPr>
                <w:b w:val="0"/>
                <w:sz w:val="18"/>
              </w:rPr>
              <w:t>30 October 2026</w:t>
            </w:r>
          </w:p>
        </w:tc>
      </w:tr>
    </w:tbl>
    <w:p/>
    <w:p>
      <w:pPr>
        <w:spacing w:before="800"/>
        <w:jc w:val="center"/>
      </w:pPr>
      <w:r>
        <w:rPr>
          <w:color w:val="5A5A5A"/>
        </w:rPr>
        <w:t>Prepared for educational and defensive cybersecurity learning.</w:t>
      </w:r>
    </w:p>
    <w:p>
      <w:r>
        <w:br w:type="page"/>
      </w:r>
    </w:p>
    <w:p>
      <w:pPr>
        <w:pStyle w:val="Heading1"/>
      </w:pPr>
      <w:r>
        <w:t>Contents</w:t>
      </w:r>
    </w:p>
    <w:p>
      <w:pPr>
        <w:pStyle w:val="ListBullet"/>
        <w:spacing w:after="40"/>
      </w:pPr>
      <w:r>
        <w:t>1. Executive Summary</w:t>
      </w:r>
    </w:p>
    <w:p>
      <w:pPr>
        <w:pStyle w:val="ListBullet"/>
        <w:spacing w:after="40"/>
      </w:pPr>
      <w:r>
        <w:t>2. Introduction to a Security Operations Center</w:t>
      </w:r>
    </w:p>
    <w:p>
      <w:pPr>
        <w:pStyle w:val="ListBullet"/>
        <w:spacing w:after="40"/>
      </w:pPr>
      <w:r>
        <w:t>3. Role and Daily Responsibilities of a SOC Analyst</w:t>
      </w:r>
    </w:p>
    <w:p>
      <w:pPr>
        <w:pStyle w:val="ListBullet"/>
        <w:spacing w:after="40"/>
      </w:pPr>
      <w:r>
        <w:t>4. Common Cybersecurity Threats and Indicators of Compromise</w:t>
      </w:r>
    </w:p>
    <w:p>
      <w:pPr>
        <w:pStyle w:val="ListBullet"/>
        <w:spacing w:after="40"/>
      </w:pPr>
      <w:r>
        <w:t>5. Security Monitoring and Log Analysis</w:t>
      </w:r>
    </w:p>
    <w:p>
      <w:pPr>
        <w:pStyle w:val="ListBullet"/>
        <w:spacing w:after="40"/>
      </w:pPr>
      <w:r>
        <w:t>6. Core SOC Tools: SIEM, IDS, IPS, and EDR</w:t>
      </w:r>
    </w:p>
    <w:p>
      <w:pPr>
        <w:pStyle w:val="ListBullet"/>
        <w:spacing w:after="40"/>
      </w:pPr>
      <w:r>
        <w:t>7. Incident Response Lifecycle</w:t>
      </w:r>
    </w:p>
    <w:p>
      <w:pPr>
        <w:pStyle w:val="ListBullet"/>
        <w:spacing w:after="40"/>
      </w:pPr>
      <w:r>
        <w:t>8. Practical Scenario: Suspicious Login Activity</w:t>
      </w:r>
    </w:p>
    <w:p>
      <w:pPr>
        <w:pStyle w:val="ListBullet"/>
        <w:spacing w:after="40"/>
      </w:pPr>
      <w:r>
        <w:t>9. Common SOC Challenges and Recommended Practices</w:t>
      </w:r>
    </w:p>
    <w:p>
      <w:pPr>
        <w:pStyle w:val="ListBullet"/>
        <w:spacing w:after="40"/>
      </w:pPr>
      <w:r>
        <w:t>10. Conclusion</w:t>
      </w:r>
    </w:p>
    <w:p>
      <w:pPr>
        <w:pStyle w:val="ListBullet"/>
        <w:spacing w:after="40"/>
      </w:pPr>
      <w:r>
        <w:t>11. References</w:t>
      </w:r>
    </w:p>
    <w:p>
      <w:r>
        <w:br w:type="page"/>
      </w:r>
    </w:p>
    <w:p>
      <w:pPr>
        <w:pStyle w:val="Heading1"/>
      </w:pPr>
      <w:r>
        <w:t>1. Executive Summary</w:t>
      </w:r>
    </w:p>
    <w:p>
      <w:r>
        <w:t>A Security Operations Center (SOC) helps an organization protect its people, systems, applications, and data by continuously monitoring security events, identifying suspicious activity, investigating alerts, and coordinating incident response. This assessment explains the core responsibilities of a SOC analyst, common cyber threats, indicators of compromise (IOCs), log collection and analysis, commonly used defensive tools, and the incident response process.</w:t>
      </w:r>
    </w:p>
    <w:p>
      <w:r>
        <w:t>The report also presents a hypothetical investigation involving repeated failed logins followed by a successful login from an unusual source. It demonstrates how an analyst can validate an alert, correlate logs, assess risk, escalate the case, and recommend containment and recovery actions. The examples are educational and defensive; they do not describe activity against real systems.</w:t>
      </w:r>
    </w:p>
    <w:p>
      <w:r>
        <w:t>The key finding is that effective security operations depend on more than tools alone. Good results require reliable logs, well-tuned detections, documented procedures, clear communication, access controls, regular practice, and continuous improvement. The report aligns its incident-response discussion with NIST guidance and uses MITRE ATT&amp;CK as a reference for describing adversary behaviour.</w:t>
      </w:r>
    </w:p>
    <w:p>
      <w:pPr>
        <w:pStyle w:val="Heading1"/>
      </w:pPr>
      <w:r>
        <w:t>2. Introduction to a Security Operations Center</w:t>
      </w:r>
    </w:p>
    <w:p>
      <w:r>
        <w:t>A Security Operations Center (SOC) is a team, function, or facility responsible for monitoring and improving an organization's security posture. SOC personnel review alerts from endpoints, servers, identity systems, firewalls, cloud services, and applications. Their purpose is to distinguish normal activity from potentially harmful behaviour and to coordinate a proportionate response.</w:t>
      </w:r>
    </w:p>
    <w:p>
      <w:pPr>
        <w:pStyle w:val="Heading2"/>
      </w:pPr>
      <w:r>
        <w:t>2.1 Main objectives of a SOC</w:t>
      </w:r>
    </w:p>
    <w:p>
      <w:pPr>
        <w:pStyle w:val="ListBullet"/>
        <w:spacing w:after="40"/>
      </w:pPr>
      <w:r>
        <w:t>Monitor security events and investigate suspicious behaviour.</w:t>
      </w:r>
    </w:p>
    <w:p>
      <w:pPr>
        <w:pStyle w:val="ListBullet"/>
        <w:spacing w:after="40"/>
      </w:pPr>
      <w:r>
        <w:t>Detect threats as early as possible and reduce the time attackers remain undetected.</w:t>
      </w:r>
    </w:p>
    <w:p>
      <w:pPr>
        <w:pStyle w:val="ListBullet"/>
        <w:spacing w:after="40"/>
      </w:pPr>
      <w:r>
        <w:t>Protect the confidentiality, integrity, and availability of information.</w:t>
      </w:r>
    </w:p>
    <w:p>
      <w:pPr>
        <w:pStyle w:val="ListBullet"/>
        <w:spacing w:after="40"/>
      </w:pPr>
      <w:r>
        <w:t>Coordinate with IT, network, cloud, legal, and management teams during incidents.</w:t>
      </w:r>
    </w:p>
    <w:p>
      <w:pPr>
        <w:pStyle w:val="ListBullet"/>
        <w:spacing w:after="40"/>
      </w:pPr>
      <w:r>
        <w:t>Maintain evidence and documentation for investigation, reporting, and lessons learned.</w:t>
      </w:r>
    </w:p>
    <w:p>
      <w:pPr>
        <w:pStyle w:val="ListBullet"/>
        <w:spacing w:after="40"/>
      </w:pPr>
      <w:r>
        <w:t>Improve detection rules and controls based on incidents and changing risks.</w:t>
      </w:r>
    </w:p>
    <w:p>
      <w:pPr>
        <w:pStyle w:val="Heading2"/>
      </w:pPr>
      <w:r>
        <w:t>2.2 Typical SOC workflow</w:t>
      </w:r>
    </w:p>
    <w:p>
      <w:r>
        <w:t>A common workflow is: collect telemetry → normalize and correlate events → generate an alert → triage and investigate → escalate or respond → document findings → improve detections. The exact workflow varies by organization, team size, technology, and incident severity.</w:t>
      </w:r>
    </w:p>
    <w:p>
      <w:pPr>
        <w:pStyle w:val="Heading2"/>
      </w:pPr>
      <w:r>
        <w:t>2.3 SOC tiers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20"/>
            </w:pPr>
            <w:r/>
            <w:r>
              <w:rPr>
                <w:b/>
                <w:sz w:val="18"/>
              </w:rPr>
              <w:t>Tier / Function</w:t>
            </w:r>
          </w:p>
        </w:tc>
        <w:tc>
          <w:tcPr>
            <w:tcW w:type="dxa" w:w="3312"/>
            <w:vAlign w:val="center"/>
          </w:tcPr>
          <w:p>
            <w:pPr>
              <w:spacing w:after="20"/>
            </w:pPr>
            <w:r/>
            <w:r>
              <w:rPr>
                <w:b/>
                <w:sz w:val="18"/>
              </w:rPr>
              <w:t>Typical work</w:t>
            </w:r>
          </w:p>
        </w:tc>
        <w:tc>
          <w:tcPr>
            <w:tcW w:type="dxa" w:w="3312"/>
            <w:vAlign w:val="center"/>
          </w:tcPr>
          <w:p>
            <w:pPr>
              <w:spacing w:after="20"/>
            </w:pPr>
            <w:r/>
            <w:r>
              <w:rPr>
                <w:b/>
                <w:sz w:val="18"/>
              </w:rPr>
              <w:t>Example</w:t>
            </w:r>
          </w:p>
        </w:tc>
      </w:tr>
      <w:tr>
        <w:tc>
          <w:tcPr>
            <w:tcW w:type="dxa" w:w="3312"/>
            <w:vAlign w:val="center"/>
          </w:tcPr>
          <w:p>
            <w:pPr>
              <w:spacing w:after="20"/>
            </w:pPr>
            <w:r/>
            <w:r>
              <w:rPr>
                <w:b w:val="0"/>
                <w:sz w:val="18"/>
              </w:rPr>
              <w:t>Tier 1 – Alert triage</w:t>
            </w:r>
          </w:p>
        </w:tc>
        <w:tc>
          <w:tcPr>
            <w:tcW w:type="dxa" w:w="3312"/>
            <w:vAlign w:val="center"/>
          </w:tcPr>
          <w:p>
            <w:pPr>
              <w:spacing w:after="20"/>
            </w:pPr>
            <w:r/>
            <w:r>
              <w:rPr>
                <w:b w:val="0"/>
                <w:sz w:val="18"/>
              </w:rPr>
              <w:t>Review alerts, remove obvious false positives, collect initial context, and escalate suspicious cases.</w:t>
            </w:r>
          </w:p>
        </w:tc>
        <w:tc>
          <w:tcPr>
            <w:tcW w:type="dxa" w:w="3312"/>
            <w:vAlign w:val="center"/>
          </w:tcPr>
          <w:p>
            <w:pPr>
              <w:spacing w:after="20"/>
            </w:pPr>
            <w:r/>
            <w:r>
              <w:rPr>
                <w:b w:val="0"/>
                <w:sz w:val="18"/>
              </w:rPr>
              <w:t>Check whether a login alert matches the user's normal location and device.</w:t>
            </w:r>
          </w:p>
        </w:tc>
      </w:tr>
      <w:tr>
        <w:tc>
          <w:tcPr>
            <w:tcW w:type="dxa" w:w="3312"/>
            <w:vAlign w:val="center"/>
          </w:tcPr>
          <w:p>
            <w:pPr>
              <w:spacing w:after="20"/>
            </w:pPr>
            <w:r/>
            <w:r>
              <w:rPr>
                <w:b w:val="0"/>
                <w:sz w:val="18"/>
              </w:rPr>
              <w:t>Tier 2 – Investigation</w:t>
            </w:r>
          </w:p>
        </w:tc>
        <w:tc>
          <w:tcPr>
            <w:tcW w:type="dxa" w:w="3312"/>
            <w:vAlign w:val="center"/>
          </w:tcPr>
          <w:p>
            <w:pPr>
              <w:spacing w:after="20"/>
            </w:pPr>
            <w:r/>
            <w:r>
              <w:rPr>
                <w:b w:val="0"/>
                <w:sz w:val="18"/>
              </w:rPr>
              <w:t>Correlate events, scope affected assets, determine likely impact, and recommend response actions.</w:t>
            </w:r>
          </w:p>
        </w:tc>
        <w:tc>
          <w:tcPr>
            <w:tcW w:type="dxa" w:w="3312"/>
            <w:vAlign w:val="center"/>
          </w:tcPr>
          <w:p>
            <w:pPr>
              <w:spacing w:after="20"/>
            </w:pPr>
            <w:r/>
            <w:r>
              <w:rPr>
                <w:b w:val="0"/>
                <w:sz w:val="18"/>
              </w:rPr>
              <w:t>Compare identity logs, endpoint events, and VPN records.</w:t>
            </w:r>
          </w:p>
        </w:tc>
      </w:tr>
      <w:tr>
        <w:tc>
          <w:tcPr>
            <w:tcW w:type="dxa" w:w="3312"/>
            <w:vAlign w:val="center"/>
          </w:tcPr>
          <w:p>
            <w:pPr>
              <w:spacing w:after="20"/>
            </w:pPr>
            <w:r/>
            <w:r>
              <w:rPr>
                <w:b w:val="0"/>
                <w:sz w:val="18"/>
              </w:rPr>
              <w:t>Tier 3 – Threat hunting / specialist</w:t>
            </w:r>
          </w:p>
        </w:tc>
        <w:tc>
          <w:tcPr>
            <w:tcW w:type="dxa" w:w="3312"/>
            <w:vAlign w:val="center"/>
          </w:tcPr>
          <w:p>
            <w:pPr>
              <w:spacing w:after="20"/>
            </w:pPr>
            <w:r/>
            <w:r>
              <w:rPr>
                <w:b w:val="0"/>
                <w:sz w:val="18"/>
              </w:rPr>
              <w:t>Investigate complex incidents, hunt for hidden activity, improve detections, and perform advanced analysis.</w:t>
            </w:r>
          </w:p>
        </w:tc>
        <w:tc>
          <w:tcPr>
            <w:tcW w:type="dxa" w:w="3312"/>
            <w:vAlign w:val="center"/>
          </w:tcPr>
          <w:p>
            <w:pPr>
              <w:spacing w:after="20"/>
            </w:pPr>
            <w:r/>
            <w:r>
              <w:rPr>
                <w:b w:val="0"/>
                <w:sz w:val="18"/>
              </w:rPr>
              <w:t>Search across endpoints for related suspicious process behaviour.</w:t>
            </w:r>
          </w:p>
        </w:tc>
      </w:tr>
      <w:tr>
        <w:tc>
          <w:tcPr>
            <w:tcW w:type="dxa" w:w="3312"/>
            <w:vAlign w:val="center"/>
          </w:tcPr>
          <w:p>
            <w:pPr>
              <w:spacing w:after="20"/>
            </w:pPr>
            <w:r/>
            <w:r>
              <w:rPr>
                <w:b w:val="0"/>
                <w:sz w:val="18"/>
              </w:rPr>
              <w:t>SOC lead / incident manager</w:t>
            </w:r>
          </w:p>
        </w:tc>
        <w:tc>
          <w:tcPr>
            <w:tcW w:type="dxa" w:w="3312"/>
            <w:vAlign w:val="center"/>
          </w:tcPr>
          <w:p>
            <w:pPr>
              <w:spacing w:after="20"/>
            </w:pPr>
            <w:r/>
            <w:r>
              <w:rPr>
                <w:b w:val="0"/>
                <w:sz w:val="18"/>
              </w:rPr>
              <w:t>Set priorities, coordinate teams, manage communications, and review response quality.</w:t>
            </w:r>
          </w:p>
        </w:tc>
        <w:tc>
          <w:tcPr>
            <w:tcW w:type="dxa" w:w="3312"/>
            <w:vAlign w:val="center"/>
          </w:tcPr>
          <w:p>
            <w:pPr>
              <w:spacing w:after="20"/>
            </w:pPr>
            <w:r/>
            <w:r>
              <w:rPr>
                <w:b w:val="0"/>
                <w:sz w:val="18"/>
              </w:rPr>
              <w:t>Coordinate a high-severity account compromise investigation.</w:t>
            </w:r>
          </w:p>
        </w:tc>
      </w:tr>
    </w:tbl>
    <w:p>
      <w:pPr>
        <w:pStyle w:val="Heading1"/>
      </w:pPr>
      <w:r>
        <w:t>3. Role and Daily Responsibilities of a SOC Analyst</w:t>
      </w:r>
    </w:p>
    <w:p>
      <w:r>
        <w:t>A SOC analyst reviews security telemetry and determines whether an event is benign, suspicious, or a confirmed incident. Analysts must be methodical: an alert is a signal that needs investigation, not automatic proof that an attack occurred.</w:t>
      </w:r>
    </w:p>
    <w:p>
      <w:pPr>
        <w:pStyle w:val="Heading2"/>
      </w:pPr>
      <w:r>
        <w:t>3.1 Key responsibilities</w:t>
      </w:r>
    </w:p>
    <w:p>
      <w:pPr>
        <w:pStyle w:val="ListBullet"/>
        <w:spacing w:after="40"/>
      </w:pPr>
      <w:r>
        <w:t>Alert triage: review severity, affected user or asset, detection reason, timestamps, and related events.</w:t>
      </w:r>
    </w:p>
    <w:p>
      <w:pPr>
        <w:pStyle w:val="ListBullet"/>
        <w:spacing w:after="40"/>
      </w:pPr>
      <w:r>
        <w:t>Log analysis: examine authentication, endpoint, firewall, DNS, proxy, VPN, and application records.</w:t>
      </w:r>
    </w:p>
    <w:p>
      <w:pPr>
        <w:pStyle w:val="ListBullet"/>
        <w:spacing w:after="40"/>
      </w:pPr>
      <w:r>
        <w:t>Investigation: build a timeline, identify the source and scope, and check whether the activity is expected.</w:t>
      </w:r>
    </w:p>
    <w:p>
      <w:pPr>
        <w:pStyle w:val="ListBullet"/>
        <w:spacing w:after="40"/>
      </w:pPr>
      <w:r>
        <w:t>Threat intelligence: compare indicators such as IP addresses, domains, file hashes, and behaviours with trusted sources.</w:t>
      </w:r>
    </w:p>
    <w:p>
      <w:pPr>
        <w:pStyle w:val="ListBullet"/>
        <w:spacing w:after="40"/>
      </w:pPr>
      <w:r>
        <w:t>Incident handling: follow approved playbooks and coordinate with system owners and incident responders.</w:t>
      </w:r>
    </w:p>
    <w:p>
      <w:pPr>
        <w:pStyle w:val="ListBullet"/>
        <w:spacing w:after="40"/>
      </w:pPr>
      <w:r>
        <w:t>Documentation: record evidence, decisions, timestamps, actions taken, and outstanding questions.</w:t>
      </w:r>
    </w:p>
    <w:p>
      <w:pPr>
        <w:pStyle w:val="ListBullet"/>
        <w:spacing w:after="40"/>
      </w:pPr>
      <w:r>
        <w:t>Detection improvement: identify gaps, reduce noisy alerts, and suggest new rules or logging sources.</w:t>
      </w:r>
    </w:p>
    <w:p>
      <w:pPr>
        <w:pStyle w:val="ListBullet"/>
        <w:spacing w:after="40"/>
      </w:pPr>
      <w:r>
        <w:t>Communication: explain findings clearly to technical teams and non-technical stakeholders.</w:t>
      </w:r>
    </w:p>
    <w:p>
      <w:pPr>
        <w:pStyle w:val="Heading2"/>
      </w:pPr>
      <w:r>
        <w:t>3.2 Example daily routine</w:t>
      </w:r>
    </w:p>
    <w:p>
      <w:pPr>
        <w:pStyle w:val="ListNumber"/>
        <w:spacing w:after="40"/>
      </w:pPr>
      <w:r>
        <w:t>Start of shift: review handover notes, open incidents, service status, and important threat advisories.</w:t>
      </w:r>
    </w:p>
    <w:p>
      <w:pPr>
        <w:pStyle w:val="ListNumber"/>
        <w:spacing w:after="40"/>
      </w:pPr>
      <w:r>
        <w:t>During the shift: triage alerts, investigate priority events, escalate confirmed risks, and update case records.</w:t>
      </w:r>
    </w:p>
    <w:p>
      <w:pPr>
        <w:pStyle w:val="ListNumber"/>
        <w:spacing w:after="40"/>
      </w:pPr>
      <w:r>
        <w:t>Coordination: contact asset owners or IT teams when verification or containment is required.</w:t>
      </w:r>
    </w:p>
    <w:p>
      <w:pPr>
        <w:pStyle w:val="ListNumber"/>
        <w:spacing w:after="40"/>
      </w:pPr>
      <w:r>
        <w:t>End of shift: document unresolved alerts, evidence collected, actions completed, and recommended next steps.</w:t>
      </w:r>
    </w:p>
    <w:p>
      <w:pPr>
        <w:pStyle w:val="Heading2"/>
      </w:pPr>
      <w:r>
        <w:t>3.3 Skills required</w:t>
      </w:r>
    </w:p>
    <w:p>
      <w:r>
        <w:t>Useful skills include networking fundamentals (IP, DNS, HTTP/S, TCP/UDP), Windows and Linux basics, identity and access management, log interpretation, scripting fundamentals, clear writing, and analytical thinking. Familiarity with a SIEM, endpoint security platform, packet analysis, and frameworks such as MITRE ATT&amp;CK is valuable. Analysts should work only within authorized environments and follow organizational policies.</w:t>
      </w:r>
    </w:p>
    <w:p>
      <w:pPr>
        <w:pStyle w:val="Heading1"/>
      </w:pPr>
      <w:r>
        <w:t>4. Common Cybersecurity Threats and Indicators of Compromise</w:t>
      </w:r>
    </w:p>
    <w:p>
      <w:r>
        <w:t>A cybersecurity threat is a potential cause of harm to a system or organization. An attack technique is a method used to achieve an objective. An indicator of compromise (IOC) is an observable clue that may suggest malicious activity. An IOC should be assessed with context because individual indicators can be incomplete or misleading.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20"/>
            </w:pPr>
            <w:r/>
            <w:r>
              <w:rPr>
                <w:b/>
                <w:sz w:val="18"/>
              </w:rPr>
              <w:t>Threat</w:t>
            </w:r>
          </w:p>
        </w:tc>
        <w:tc>
          <w:tcPr>
            <w:tcW w:type="dxa" w:w="3312"/>
            <w:vAlign w:val="center"/>
          </w:tcPr>
          <w:p>
            <w:pPr>
              <w:spacing w:after="20"/>
            </w:pPr>
            <w:r/>
            <w:r>
              <w:rPr>
                <w:b/>
                <w:sz w:val="18"/>
              </w:rPr>
              <w:t>Possible indicators</w:t>
            </w:r>
          </w:p>
        </w:tc>
        <w:tc>
          <w:tcPr>
            <w:tcW w:type="dxa" w:w="3312"/>
            <w:vAlign w:val="center"/>
          </w:tcPr>
          <w:p>
            <w:pPr>
              <w:spacing w:after="20"/>
            </w:pPr>
            <w:r/>
            <w:r>
              <w:rPr>
                <w:b/>
                <w:sz w:val="18"/>
              </w:rPr>
              <w:t>Defensive response</w:t>
            </w:r>
          </w:p>
        </w:tc>
      </w:tr>
      <w:tr>
        <w:tc>
          <w:tcPr>
            <w:tcW w:type="dxa" w:w="3312"/>
            <w:vAlign w:val="center"/>
          </w:tcPr>
          <w:p>
            <w:pPr>
              <w:spacing w:after="20"/>
            </w:pPr>
            <w:r/>
            <w:r>
              <w:rPr>
                <w:b w:val="0"/>
                <w:sz w:val="18"/>
              </w:rPr>
              <w:t>Phishing / social engineering</w:t>
            </w:r>
          </w:p>
        </w:tc>
        <w:tc>
          <w:tcPr>
            <w:tcW w:type="dxa" w:w="3312"/>
            <w:vAlign w:val="center"/>
          </w:tcPr>
          <w:p>
            <w:pPr>
              <w:spacing w:after="20"/>
            </w:pPr>
            <w:r/>
            <w:r>
              <w:rPr>
                <w:b w:val="0"/>
                <w:sz w:val="18"/>
              </w:rPr>
              <w:t>Unexpected messages, lookalike domains, suspicious links or attachments, unusual sign-in prompts.</w:t>
            </w:r>
          </w:p>
        </w:tc>
        <w:tc>
          <w:tcPr>
            <w:tcW w:type="dxa" w:w="3312"/>
            <w:vAlign w:val="center"/>
          </w:tcPr>
          <w:p>
            <w:pPr>
              <w:spacing w:after="20"/>
            </w:pPr>
            <w:r/>
            <w:r>
              <w:rPr>
                <w:b w:val="0"/>
                <w:sz w:val="18"/>
              </w:rPr>
              <w:t>Report the message, inspect headers and URLs safely, block confirmed malicious indicators, and educate users.</w:t>
            </w:r>
          </w:p>
        </w:tc>
      </w:tr>
      <w:tr>
        <w:tc>
          <w:tcPr>
            <w:tcW w:type="dxa" w:w="3312"/>
            <w:vAlign w:val="center"/>
          </w:tcPr>
          <w:p>
            <w:pPr>
              <w:spacing w:after="20"/>
            </w:pPr>
            <w:r/>
            <w:r>
              <w:rPr>
                <w:b w:val="0"/>
                <w:sz w:val="18"/>
              </w:rPr>
              <w:t>Credential attacks</w:t>
            </w:r>
          </w:p>
        </w:tc>
        <w:tc>
          <w:tcPr>
            <w:tcW w:type="dxa" w:w="3312"/>
            <w:vAlign w:val="center"/>
          </w:tcPr>
          <w:p>
            <w:pPr>
              <w:spacing w:after="20"/>
            </w:pPr>
            <w:r/>
            <w:r>
              <w:rPr>
                <w:b w:val="0"/>
                <w:sz w:val="18"/>
              </w:rPr>
              <w:t>Repeated failed logins, password-spray patterns, unfamiliar devices, impossible or unusual travel patterns.</w:t>
            </w:r>
          </w:p>
        </w:tc>
        <w:tc>
          <w:tcPr>
            <w:tcW w:type="dxa" w:w="3312"/>
            <w:vAlign w:val="center"/>
          </w:tcPr>
          <w:p>
            <w:pPr>
              <w:spacing w:after="20"/>
            </w:pPr>
            <w:r/>
            <w:r>
              <w:rPr>
                <w:b w:val="0"/>
                <w:sz w:val="18"/>
              </w:rPr>
              <w:t>Validate with identity logs, enforce MFA, reset exposed credentials, and review active sessions.</w:t>
            </w:r>
          </w:p>
        </w:tc>
      </w:tr>
      <w:tr>
        <w:tc>
          <w:tcPr>
            <w:tcW w:type="dxa" w:w="3312"/>
            <w:vAlign w:val="center"/>
          </w:tcPr>
          <w:p>
            <w:pPr>
              <w:spacing w:after="20"/>
            </w:pPr>
            <w:r/>
            <w:r>
              <w:rPr>
                <w:b w:val="0"/>
                <w:sz w:val="18"/>
              </w:rPr>
              <w:t>Malware / ransomware</w:t>
            </w:r>
          </w:p>
        </w:tc>
        <w:tc>
          <w:tcPr>
            <w:tcW w:type="dxa" w:w="3312"/>
            <w:vAlign w:val="center"/>
          </w:tcPr>
          <w:p>
            <w:pPr>
              <w:spacing w:after="20"/>
            </w:pPr>
            <w:r/>
            <w:r>
              <w:rPr>
                <w:b w:val="0"/>
                <w:sz w:val="18"/>
              </w:rPr>
              <w:t>Unexpected processes, suspicious persistence, security-tool alerts, mass file changes, ransom notes.</w:t>
            </w:r>
          </w:p>
        </w:tc>
        <w:tc>
          <w:tcPr>
            <w:tcW w:type="dxa" w:w="3312"/>
            <w:vAlign w:val="center"/>
          </w:tcPr>
          <w:p>
            <w:pPr>
              <w:spacing w:after="20"/>
            </w:pPr>
            <w:r/>
            <w:r>
              <w:rPr>
                <w:b w:val="0"/>
                <w:sz w:val="18"/>
              </w:rPr>
              <w:t>Isolate affected endpoints using approved procedures, preserve evidence, and involve incident responders.</w:t>
            </w:r>
          </w:p>
        </w:tc>
      </w:tr>
      <w:tr>
        <w:tc>
          <w:tcPr>
            <w:tcW w:type="dxa" w:w="3312"/>
            <w:vAlign w:val="center"/>
          </w:tcPr>
          <w:p>
            <w:pPr>
              <w:spacing w:after="20"/>
            </w:pPr>
            <w:r/>
            <w:r>
              <w:rPr>
                <w:b w:val="0"/>
                <w:sz w:val="18"/>
              </w:rPr>
              <w:t>Exploitation of vulnerabilities</w:t>
            </w:r>
          </w:p>
        </w:tc>
        <w:tc>
          <w:tcPr>
            <w:tcW w:type="dxa" w:w="3312"/>
            <w:vAlign w:val="center"/>
          </w:tcPr>
          <w:p>
            <w:pPr>
              <w:spacing w:after="20"/>
            </w:pPr>
            <w:r/>
            <w:r>
              <w:rPr>
                <w:b w:val="0"/>
                <w:sz w:val="18"/>
              </w:rPr>
              <w:t>Unexpected web errors, suspicious requests, unusual child processes, or known vulnerable services being targeted.</w:t>
            </w:r>
          </w:p>
        </w:tc>
        <w:tc>
          <w:tcPr>
            <w:tcW w:type="dxa" w:w="3312"/>
            <w:vAlign w:val="center"/>
          </w:tcPr>
          <w:p>
            <w:pPr>
              <w:spacing w:after="20"/>
            </w:pPr>
            <w:r/>
            <w:r>
              <w:rPr>
                <w:b w:val="0"/>
                <w:sz w:val="18"/>
              </w:rPr>
              <w:t>Patch or mitigate the affected service, review application and system logs, and verify exposure.</w:t>
            </w:r>
          </w:p>
        </w:tc>
      </w:tr>
      <w:tr>
        <w:tc>
          <w:tcPr>
            <w:tcW w:type="dxa" w:w="3312"/>
            <w:vAlign w:val="center"/>
          </w:tcPr>
          <w:p>
            <w:pPr>
              <w:spacing w:after="20"/>
            </w:pPr>
            <w:r/>
            <w:r>
              <w:rPr>
                <w:b w:val="0"/>
                <w:sz w:val="18"/>
              </w:rPr>
              <w:t>Command-and-control communication</w:t>
            </w:r>
          </w:p>
        </w:tc>
        <w:tc>
          <w:tcPr>
            <w:tcW w:type="dxa" w:w="3312"/>
            <w:vAlign w:val="center"/>
          </w:tcPr>
          <w:p>
            <w:pPr>
              <w:spacing w:after="20"/>
            </w:pPr>
            <w:r/>
            <w:r>
              <w:rPr>
                <w:b w:val="0"/>
                <w:sz w:val="18"/>
              </w:rPr>
              <w:t>Repeated outbound connections to rare domains or destinations, unusual beacon-like timing, abnormal DNS activity.</w:t>
            </w:r>
          </w:p>
        </w:tc>
        <w:tc>
          <w:tcPr>
            <w:tcW w:type="dxa" w:w="3312"/>
            <w:vAlign w:val="center"/>
          </w:tcPr>
          <w:p>
            <w:pPr>
              <w:spacing w:after="20"/>
            </w:pPr>
            <w:r/>
            <w:r>
              <w:rPr>
                <w:b w:val="0"/>
                <w:sz w:val="18"/>
              </w:rPr>
              <w:t>Correlate endpoint and network data; block only after validating the risk and business impact.</w:t>
            </w:r>
          </w:p>
        </w:tc>
      </w:tr>
      <w:tr>
        <w:tc>
          <w:tcPr>
            <w:tcW w:type="dxa" w:w="3312"/>
            <w:vAlign w:val="center"/>
          </w:tcPr>
          <w:p>
            <w:pPr>
              <w:spacing w:after="20"/>
            </w:pPr>
            <w:r/>
            <w:r>
              <w:rPr>
                <w:b w:val="0"/>
                <w:sz w:val="18"/>
              </w:rPr>
              <w:t>Data exfiltration</w:t>
            </w:r>
          </w:p>
        </w:tc>
        <w:tc>
          <w:tcPr>
            <w:tcW w:type="dxa" w:w="3312"/>
            <w:vAlign w:val="center"/>
          </w:tcPr>
          <w:p>
            <w:pPr>
              <w:spacing w:after="20"/>
            </w:pPr>
            <w:r/>
            <w:r>
              <w:rPr>
                <w:b w:val="0"/>
                <w:sz w:val="18"/>
              </w:rPr>
              <w:t>Unexpected large transfers, unusual cloud uploads, abnormal outbound traffic, or access to sensitive files outside normal patterns.</w:t>
            </w:r>
          </w:p>
        </w:tc>
        <w:tc>
          <w:tcPr>
            <w:tcW w:type="dxa" w:w="3312"/>
            <w:vAlign w:val="center"/>
          </w:tcPr>
          <w:p>
            <w:pPr>
              <w:spacing w:after="20"/>
            </w:pPr>
            <w:r/>
            <w:r>
              <w:rPr>
                <w:b w:val="0"/>
                <w:sz w:val="18"/>
              </w:rPr>
              <w:t>Validate business context, restrict access where appropriate, preserve records, and follow data-breach procedures.</w:t>
            </w:r>
          </w:p>
        </w:tc>
      </w:tr>
      <w:tr>
        <w:tc>
          <w:tcPr>
            <w:tcW w:type="dxa" w:w="3312"/>
            <w:vAlign w:val="center"/>
          </w:tcPr>
          <w:p>
            <w:pPr>
              <w:spacing w:after="20"/>
            </w:pPr>
            <w:r/>
            <w:r>
              <w:rPr>
                <w:b w:val="0"/>
                <w:sz w:val="18"/>
              </w:rPr>
              <w:t>Denial of service</w:t>
            </w:r>
          </w:p>
        </w:tc>
        <w:tc>
          <w:tcPr>
            <w:tcW w:type="dxa" w:w="3312"/>
            <w:vAlign w:val="center"/>
          </w:tcPr>
          <w:p>
            <w:pPr>
              <w:spacing w:after="20"/>
            </w:pPr>
            <w:r/>
            <w:r>
              <w:rPr>
                <w:b w:val="0"/>
                <w:sz w:val="18"/>
              </w:rPr>
              <w:t>Sudden traffic spikes, service timeouts, resource exhaustion, abnormal request rates.</w:t>
            </w:r>
          </w:p>
        </w:tc>
        <w:tc>
          <w:tcPr>
            <w:tcW w:type="dxa" w:w="3312"/>
            <w:vAlign w:val="center"/>
          </w:tcPr>
          <w:p>
            <w:pPr>
              <w:spacing w:after="20"/>
            </w:pPr>
            <w:r/>
            <w:r>
              <w:rPr>
                <w:b w:val="0"/>
                <w:sz w:val="18"/>
              </w:rPr>
              <w:t>Engage network/service teams, apply approved rate limits or mitigation, and monitor service health.</w:t>
            </w:r>
          </w:p>
        </w:tc>
      </w:tr>
    </w:tbl>
    <w:p>
      <w:pPr>
        <w:pStyle w:val="Heading2"/>
      </w:pPr>
      <w:r>
        <w:t>4.1 Common IOC categories</w:t>
      </w:r>
    </w:p>
    <w:p>
      <w:pPr>
        <w:pStyle w:val="ListBullet"/>
        <w:spacing w:after="40"/>
      </w:pPr>
      <w:r>
        <w:t>Network indicators: IP addresses, domains, URLs, DNS queries, ports, and traffic patterns.</w:t>
      </w:r>
    </w:p>
    <w:p>
      <w:pPr>
        <w:pStyle w:val="ListBullet"/>
        <w:spacing w:after="40"/>
      </w:pPr>
      <w:r>
        <w:t>File indicators: cryptographic hashes, suspicious filenames, file paths, and unexpected modifications.</w:t>
      </w:r>
    </w:p>
    <w:p>
      <w:pPr>
        <w:pStyle w:val="ListBullet"/>
        <w:spacing w:after="40"/>
      </w:pPr>
      <w:r>
        <w:t>Host indicators: unusual process trees, persistence changes, disabled security controls, or abnormal system behaviour.</w:t>
      </w:r>
    </w:p>
    <w:p>
      <w:pPr>
        <w:pStyle w:val="ListBullet"/>
        <w:spacing w:after="40"/>
      </w:pPr>
      <w:r>
        <w:t>Identity indicators: repeated failures, unusual sign-in context, privilege changes, and unexpected MFA events.</w:t>
      </w:r>
    </w:p>
    <w:p>
      <w:pPr>
        <w:pStyle w:val="ListBullet"/>
        <w:spacing w:after="40"/>
      </w:pPr>
      <w:r>
        <w:t>Behavioural indicators: sequences of actions that are unusual for a user, device, or service.</w:t>
      </w:r>
    </w:p>
    <w:p>
      <w:r>
        <w:t>Analysts should avoid relying on a single IOC in isolation. For example, a public IP address may belong to a legitimate cloud service. Stronger conclusions come from correlating several independent signals, validating the timeline, and checking expected business activity.</w:t>
      </w:r>
    </w:p>
    <w:p>
      <w:pPr>
        <w:pStyle w:val="Heading1"/>
      </w:pPr>
      <w:r>
        <w:t>5. Security Monitoring and Log Analysis</w:t>
      </w:r>
    </w:p>
    <w:p>
      <w:r>
        <w:t>Security monitoring is the continuous collection and review of events to detect policy violations, attacks, misconfigurations, and unusual behaviour. Logs provide a record of activity and help analysts answer who did what, when, from where, and with what result.</w:t>
      </w:r>
    </w:p>
    <w:p>
      <w:pPr>
        <w:pStyle w:val="Heading2"/>
      </w:pPr>
      <w:r>
        <w:t>5.1 Important logging sources</w:t>
      </w:r>
    </w:p>
    <w:p>
      <w:pPr>
        <w:pStyle w:val="ListBullet"/>
        <w:spacing w:after="40"/>
      </w:pPr>
      <w:r>
        <w:t>Authentication and identity logs: successful and failed logins, MFA events, account changes, and privilege assignments.</w:t>
      </w:r>
    </w:p>
    <w:p>
      <w:pPr>
        <w:pStyle w:val="ListBullet"/>
        <w:spacing w:after="40"/>
      </w:pPr>
      <w:r>
        <w:t>Endpoint logs: process creation, security alerts, service changes, file activity, and endpoint protection events.</w:t>
      </w:r>
    </w:p>
    <w:p>
      <w:pPr>
        <w:pStyle w:val="ListBullet"/>
        <w:spacing w:after="40"/>
      </w:pPr>
      <w:r>
        <w:t>Network logs: firewall decisions, DNS queries, proxy requests, VPN sessions, and network-flow metadata.</w:t>
      </w:r>
    </w:p>
    <w:p>
      <w:pPr>
        <w:pStyle w:val="ListBullet"/>
        <w:spacing w:after="40"/>
      </w:pPr>
      <w:r>
        <w:t>Application and web-server logs: requests, response codes, errors, access to sensitive functions, and administrative actions.</w:t>
      </w:r>
    </w:p>
    <w:p>
      <w:pPr>
        <w:pStyle w:val="ListBullet"/>
        <w:spacing w:after="40"/>
      </w:pPr>
      <w:r>
        <w:t>Cloud and SaaS audit logs: sign-ins, API activity, configuration changes, object access, and role assignments.</w:t>
      </w:r>
    </w:p>
    <w:p>
      <w:pPr>
        <w:pStyle w:val="Heading2"/>
      </w:pPr>
      <w:r>
        <w:t>5.2 Good logging practices</w:t>
      </w:r>
    </w:p>
    <w:p>
      <w:pPr>
        <w:pStyle w:val="ListBullet"/>
        <w:spacing w:after="40"/>
      </w:pPr>
      <w:r>
        <w:t>Synchronize clocks using a trusted time source so events can be correlated accurately.</w:t>
      </w:r>
    </w:p>
    <w:p>
      <w:pPr>
        <w:pStyle w:val="ListBullet"/>
        <w:spacing w:after="40"/>
      </w:pPr>
      <w:r>
        <w:t>Collect logs centrally and restrict access to prevent unauthorized changes or deletion.</w:t>
      </w:r>
    </w:p>
    <w:p>
      <w:pPr>
        <w:pStyle w:val="ListBullet"/>
        <w:spacing w:after="40"/>
      </w:pPr>
      <w:r>
        <w:t>Define retention periods based on legal, regulatory, operational, and investigative requirements.</w:t>
      </w:r>
    </w:p>
    <w:p>
      <w:pPr>
        <w:pStyle w:val="ListBullet"/>
        <w:spacing w:after="40"/>
      </w:pPr>
      <w:r>
        <w:t>Protect sensitive data in logs; avoid recording passwords, secrets, or unnecessary personal information.</w:t>
      </w:r>
    </w:p>
    <w:p>
      <w:pPr>
        <w:pStyle w:val="ListBullet"/>
        <w:spacing w:after="40"/>
      </w:pPr>
      <w:r>
        <w:t>Monitor whether critical log sources stop reporting, since missing logs can create blind spots.</w:t>
      </w:r>
    </w:p>
    <w:p>
      <w:pPr>
        <w:pStyle w:val="ListBullet"/>
        <w:spacing w:after="40"/>
      </w:pPr>
      <w:r>
        <w:t>Normalize fields such as timestamps, usernames, source IPs, hostnames, and event outcomes.</w:t>
      </w:r>
    </w:p>
    <w:p>
      <w:pPr>
        <w:pStyle w:val="ListBullet"/>
        <w:spacing w:after="40"/>
      </w:pPr>
      <w:r>
        <w:t>Test alert rules regularly and document the reason each rule exists.</w:t>
      </w:r>
    </w:p>
    <w:p>
      <w:pPr>
        <w:pStyle w:val="Heading2"/>
      </w:pPr>
      <w:r>
        <w:t>5.3 Sample authentication log analysis</w:t>
      </w:r>
    </w:p>
    <w:p>
      <w:r>
        <w:t>The following is a fictional training example. The addresses and usernames are illustrative and do not represent a real investigation.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vAlign w:val="center"/>
          </w:tcPr>
          <w:p>
            <w:pPr>
              <w:spacing w:after="20"/>
            </w:pPr>
            <w:r/>
            <w:r>
              <w:rPr>
                <w:b/>
                <w:sz w:val="18"/>
              </w:rPr>
              <w:t>Time (UTC)</w:t>
            </w:r>
          </w:p>
        </w:tc>
        <w:tc>
          <w:tcPr>
            <w:tcW w:type="dxa" w:w="2484"/>
            <w:vAlign w:val="center"/>
          </w:tcPr>
          <w:p>
            <w:pPr>
              <w:spacing w:after="20"/>
            </w:pPr>
            <w:r/>
            <w:r>
              <w:rPr>
                <w:b/>
                <w:sz w:val="18"/>
              </w:rPr>
              <w:t>User</w:t>
            </w:r>
          </w:p>
        </w:tc>
        <w:tc>
          <w:tcPr>
            <w:tcW w:type="dxa" w:w="2484"/>
            <w:vAlign w:val="center"/>
          </w:tcPr>
          <w:p>
            <w:pPr>
              <w:spacing w:after="20"/>
            </w:pPr>
            <w:r/>
            <w:r>
              <w:rPr>
                <w:b/>
                <w:sz w:val="18"/>
              </w:rPr>
              <w:t>Source</w:t>
            </w:r>
          </w:p>
        </w:tc>
        <w:tc>
          <w:tcPr>
            <w:tcW w:type="dxa" w:w="2484"/>
            <w:vAlign w:val="center"/>
          </w:tcPr>
          <w:p>
            <w:pPr>
              <w:spacing w:after="20"/>
            </w:pPr>
            <w:r/>
            <w:r>
              <w:rPr>
                <w:b/>
                <w:sz w:val="18"/>
              </w:rPr>
              <w:t>Event</w:t>
            </w:r>
          </w:p>
        </w:tc>
      </w:tr>
      <w:tr>
        <w:tc>
          <w:tcPr>
            <w:tcW w:type="dxa" w:w="2484"/>
            <w:vAlign w:val="center"/>
          </w:tcPr>
          <w:p>
            <w:pPr>
              <w:spacing w:after="20"/>
            </w:pPr>
            <w:r/>
            <w:r>
              <w:rPr>
                <w:b w:val="0"/>
                <w:sz w:val="18"/>
              </w:rPr>
              <w:t>09:14:02</w:t>
            </w:r>
          </w:p>
        </w:tc>
        <w:tc>
          <w:tcPr>
            <w:tcW w:type="dxa" w:w="2484"/>
            <w:vAlign w:val="center"/>
          </w:tcPr>
          <w:p>
            <w:pPr>
              <w:spacing w:after="20"/>
            </w:pPr>
            <w:r/>
            <w:r>
              <w:rPr>
                <w:b w:val="0"/>
                <w:sz w:val="18"/>
              </w:rPr>
              <w:t>alex</w:t>
            </w:r>
          </w:p>
        </w:tc>
        <w:tc>
          <w:tcPr>
            <w:tcW w:type="dxa" w:w="2484"/>
            <w:vAlign w:val="center"/>
          </w:tcPr>
          <w:p>
            <w:pPr>
              <w:spacing w:after="20"/>
            </w:pPr>
            <w:r/>
            <w:r>
              <w:rPr>
                <w:b w:val="0"/>
                <w:sz w:val="18"/>
              </w:rPr>
              <w:t>198.51.100.24</w:t>
            </w:r>
          </w:p>
        </w:tc>
        <w:tc>
          <w:tcPr>
            <w:tcW w:type="dxa" w:w="2484"/>
            <w:vAlign w:val="center"/>
          </w:tcPr>
          <w:p>
            <w:pPr>
              <w:spacing w:after="20"/>
            </w:pPr>
            <w:r/>
            <w:r>
              <w:rPr>
                <w:b w:val="0"/>
                <w:sz w:val="18"/>
              </w:rPr>
              <w:t>Login failed</w:t>
            </w:r>
          </w:p>
        </w:tc>
      </w:tr>
      <w:tr>
        <w:tc>
          <w:tcPr>
            <w:tcW w:type="dxa" w:w="2484"/>
            <w:vAlign w:val="center"/>
          </w:tcPr>
          <w:p>
            <w:pPr>
              <w:spacing w:after="20"/>
            </w:pPr>
            <w:r/>
            <w:r>
              <w:rPr>
                <w:b w:val="0"/>
                <w:sz w:val="18"/>
              </w:rPr>
              <w:t>09:14:11</w:t>
            </w:r>
          </w:p>
        </w:tc>
        <w:tc>
          <w:tcPr>
            <w:tcW w:type="dxa" w:w="2484"/>
            <w:vAlign w:val="center"/>
          </w:tcPr>
          <w:p>
            <w:pPr>
              <w:spacing w:after="20"/>
            </w:pPr>
            <w:r/>
            <w:r>
              <w:rPr>
                <w:b w:val="0"/>
                <w:sz w:val="18"/>
              </w:rPr>
              <w:t>alex</w:t>
            </w:r>
          </w:p>
        </w:tc>
        <w:tc>
          <w:tcPr>
            <w:tcW w:type="dxa" w:w="2484"/>
            <w:vAlign w:val="center"/>
          </w:tcPr>
          <w:p>
            <w:pPr>
              <w:spacing w:after="20"/>
            </w:pPr>
            <w:r/>
            <w:r>
              <w:rPr>
                <w:b w:val="0"/>
                <w:sz w:val="18"/>
              </w:rPr>
              <w:t>198.51.100.24</w:t>
            </w:r>
          </w:p>
        </w:tc>
        <w:tc>
          <w:tcPr>
            <w:tcW w:type="dxa" w:w="2484"/>
            <w:vAlign w:val="center"/>
          </w:tcPr>
          <w:p>
            <w:pPr>
              <w:spacing w:after="20"/>
            </w:pPr>
            <w:r/>
            <w:r>
              <w:rPr>
                <w:b w:val="0"/>
                <w:sz w:val="18"/>
              </w:rPr>
              <w:t>Login failed</w:t>
            </w:r>
          </w:p>
        </w:tc>
      </w:tr>
      <w:tr>
        <w:tc>
          <w:tcPr>
            <w:tcW w:type="dxa" w:w="2484"/>
            <w:vAlign w:val="center"/>
          </w:tcPr>
          <w:p>
            <w:pPr>
              <w:spacing w:after="20"/>
            </w:pPr>
            <w:r/>
            <w:r>
              <w:rPr>
                <w:b w:val="0"/>
                <w:sz w:val="18"/>
              </w:rPr>
              <w:t>09:14:19</w:t>
            </w:r>
          </w:p>
        </w:tc>
        <w:tc>
          <w:tcPr>
            <w:tcW w:type="dxa" w:w="2484"/>
            <w:vAlign w:val="center"/>
          </w:tcPr>
          <w:p>
            <w:pPr>
              <w:spacing w:after="20"/>
            </w:pPr>
            <w:r/>
            <w:r>
              <w:rPr>
                <w:b w:val="0"/>
                <w:sz w:val="18"/>
              </w:rPr>
              <w:t>alex</w:t>
            </w:r>
          </w:p>
        </w:tc>
        <w:tc>
          <w:tcPr>
            <w:tcW w:type="dxa" w:w="2484"/>
            <w:vAlign w:val="center"/>
          </w:tcPr>
          <w:p>
            <w:pPr>
              <w:spacing w:after="20"/>
            </w:pPr>
            <w:r/>
            <w:r>
              <w:rPr>
                <w:b w:val="0"/>
                <w:sz w:val="18"/>
              </w:rPr>
              <w:t>198.51.100.24</w:t>
            </w:r>
          </w:p>
        </w:tc>
        <w:tc>
          <w:tcPr>
            <w:tcW w:type="dxa" w:w="2484"/>
            <w:vAlign w:val="center"/>
          </w:tcPr>
          <w:p>
            <w:pPr>
              <w:spacing w:after="20"/>
            </w:pPr>
            <w:r/>
            <w:r>
              <w:rPr>
                <w:b w:val="0"/>
                <w:sz w:val="18"/>
              </w:rPr>
              <w:t>Login failed</w:t>
            </w:r>
          </w:p>
        </w:tc>
      </w:tr>
      <w:tr>
        <w:tc>
          <w:tcPr>
            <w:tcW w:type="dxa" w:w="2484"/>
            <w:vAlign w:val="center"/>
          </w:tcPr>
          <w:p>
            <w:pPr>
              <w:spacing w:after="20"/>
            </w:pPr>
            <w:r/>
            <w:r>
              <w:rPr>
                <w:b w:val="0"/>
                <w:sz w:val="18"/>
              </w:rPr>
              <w:t>09:15:03</w:t>
            </w:r>
          </w:p>
        </w:tc>
        <w:tc>
          <w:tcPr>
            <w:tcW w:type="dxa" w:w="2484"/>
            <w:vAlign w:val="center"/>
          </w:tcPr>
          <w:p>
            <w:pPr>
              <w:spacing w:after="20"/>
            </w:pPr>
            <w:r/>
            <w:r>
              <w:rPr>
                <w:b w:val="0"/>
                <w:sz w:val="18"/>
              </w:rPr>
              <w:t>alex</w:t>
            </w:r>
          </w:p>
        </w:tc>
        <w:tc>
          <w:tcPr>
            <w:tcW w:type="dxa" w:w="2484"/>
            <w:vAlign w:val="center"/>
          </w:tcPr>
          <w:p>
            <w:pPr>
              <w:spacing w:after="20"/>
            </w:pPr>
            <w:r/>
            <w:r>
              <w:rPr>
                <w:b w:val="0"/>
                <w:sz w:val="18"/>
              </w:rPr>
              <w:t>198.51.100.24</w:t>
            </w:r>
          </w:p>
        </w:tc>
        <w:tc>
          <w:tcPr>
            <w:tcW w:type="dxa" w:w="2484"/>
            <w:vAlign w:val="center"/>
          </w:tcPr>
          <w:p>
            <w:pPr>
              <w:spacing w:after="20"/>
            </w:pPr>
            <w:r/>
            <w:r>
              <w:rPr>
                <w:b w:val="0"/>
                <w:sz w:val="18"/>
              </w:rPr>
              <w:t>Login successful</w:t>
            </w:r>
          </w:p>
        </w:tc>
      </w:tr>
      <w:tr>
        <w:tc>
          <w:tcPr>
            <w:tcW w:type="dxa" w:w="2484"/>
            <w:vAlign w:val="center"/>
          </w:tcPr>
          <w:p>
            <w:pPr>
              <w:spacing w:after="20"/>
            </w:pPr>
            <w:r/>
            <w:r>
              <w:rPr>
                <w:b w:val="0"/>
                <w:sz w:val="18"/>
              </w:rPr>
              <w:t>09:16:40</w:t>
            </w:r>
          </w:p>
        </w:tc>
        <w:tc>
          <w:tcPr>
            <w:tcW w:type="dxa" w:w="2484"/>
            <w:vAlign w:val="center"/>
          </w:tcPr>
          <w:p>
            <w:pPr>
              <w:spacing w:after="20"/>
            </w:pPr>
            <w:r/>
            <w:r>
              <w:rPr>
                <w:b w:val="0"/>
                <w:sz w:val="18"/>
              </w:rPr>
              <w:t>alex</w:t>
            </w:r>
          </w:p>
        </w:tc>
        <w:tc>
          <w:tcPr>
            <w:tcW w:type="dxa" w:w="2484"/>
            <w:vAlign w:val="center"/>
          </w:tcPr>
          <w:p>
            <w:pPr>
              <w:spacing w:after="20"/>
            </w:pPr>
            <w:r/>
            <w:r>
              <w:rPr>
                <w:b w:val="0"/>
                <w:sz w:val="18"/>
              </w:rPr>
              <w:t>198.51.100.24</w:t>
            </w:r>
          </w:p>
        </w:tc>
        <w:tc>
          <w:tcPr>
            <w:tcW w:type="dxa" w:w="2484"/>
            <w:vAlign w:val="center"/>
          </w:tcPr>
          <w:p>
            <w:pPr>
              <w:spacing w:after="20"/>
            </w:pPr>
            <w:r/>
            <w:r>
              <w:rPr>
                <w:b w:val="0"/>
                <w:sz w:val="18"/>
              </w:rPr>
              <w:t>MFA challenge not completed</w:t>
            </w:r>
          </w:p>
        </w:tc>
      </w:tr>
    </w:tbl>
    <w:p>
      <w:r>
        <w:t>Initial assessment: several failed attempts followed by a successful login from the same source may indicate a password-guessing attempt, but it is not enough to confirm compromise. The analyst should check whether the source and device are familiar, review MFA and session records, compare the activity with the user's baseline, and ask the account owner or identity team to validate the event.</w:t>
      </w:r>
    </w:p>
    <w:p>
      <w:pPr>
        <w:pStyle w:val="Heading2"/>
      </w:pPr>
      <w:r>
        <w:t>5.4 Example investigation questions</w:t>
      </w:r>
    </w:p>
    <w:p>
      <w:pPr>
        <w:pStyle w:val="ListBullet"/>
        <w:spacing w:after="40"/>
      </w:pPr>
      <w:r>
        <w:t>Was the login expected for this user, device, location, and time?</w:t>
      </w:r>
    </w:p>
    <w:p>
      <w:pPr>
        <w:pStyle w:val="ListBullet"/>
        <w:spacing w:after="40"/>
      </w:pPr>
      <w:r>
        <w:t>Were there successful logins from the same source against other accounts?</w:t>
      </w:r>
    </w:p>
    <w:p>
      <w:pPr>
        <w:pStyle w:val="ListBullet"/>
        <w:spacing w:after="40"/>
      </w:pPr>
      <w:r>
        <w:t>Did the account access sensitive resources or change security settings afterward?</w:t>
      </w:r>
    </w:p>
    <w:p>
      <w:pPr>
        <w:pStyle w:val="ListBullet"/>
        <w:spacing w:after="40"/>
      </w:pPr>
      <w:r>
        <w:t>Do endpoint, VPN, DNS, or cloud logs show related suspicious activity?</w:t>
      </w:r>
    </w:p>
    <w:p>
      <w:pPr>
        <w:pStyle w:val="ListBullet"/>
        <w:spacing w:after="40"/>
      </w:pPr>
      <w:r>
        <w:t>Are timestamps aligned, and are there missing or incomplete records?</w:t>
      </w:r>
    </w:p>
    <w:p>
      <w:pPr>
        <w:pStyle w:val="Heading1"/>
      </w:pPr>
      <w:r>
        <w:t>6. Core SOC Tools: SIEM, IDS, IPS, and EDR</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tcPr>
          <w:p>
            <w:pPr>
              <w:spacing w:after="20"/>
            </w:pPr>
            <w:r/>
            <w:r>
              <w:rPr>
                <w:b/>
                <w:sz w:val="18"/>
              </w:rPr>
              <w:t>Tool</w:t>
            </w:r>
          </w:p>
        </w:tc>
        <w:tc>
          <w:tcPr>
            <w:tcW w:type="dxa" w:w="3312"/>
            <w:vAlign w:val="center"/>
          </w:tcPr>
          <w:p>
            <w:pPr>
              <w:spacing w:after="20"/>
            </w:pPr>
            <w:r/>
            <w:r>
              <w:rPr>
                <w:b/>
                <w:sz w:val="18"/>
              </w:rPr>
              <w:t>Purpose</w:t>
            </w:r>
          </w:p>
        </w:tc>
        <w:tc>
          <w:tcPr>
            <w:tcW w:type="dxa" w:w="3312"/>
            <w:vAlign w:val="center"/>
          </w:tcPr>
          <w:p>
            <w:pPr>
              <w:spacing w:after="20"/>
            </w:pPr>
            <w:r/>
            <w:r>
              <w:rPr>
                <w:b/>
                <w:sz w:val="18"/>
              </w:rPr>
              <w:t>Example use</w:t>
            </w:r>
          </w:p>
        </w:tc>
      </w:tr>
      <w:tr>
        <w:tc>
          <w:tcPr>
            <w:tcW w:type="dxa" w:w="3312"/>
            <w:vAlign w:val="center"/>
          </w:tcPr>
          <w:p>
            <w:pPr>
              <w:spacing w:after="20"/>
            </w:pPr>
            <w:r/>
            <w:r>
              <w:rPr>
                <w:b w:val="0"/>
                <w:sz w:val="18"/>
              </w:rPr>
              <w:t>SIEM – Security Information and Event Management</w:t>
            </w:r>
          </w:p>
        </w:tc>
        <w:tc>
          <w:tcPr>
            <w:tcW w:type="dxa" w:w="3312"/>
            <w:vAlign w:val="center"/>
          </w:tcPr>
          <w:p>
            <w:pPr>
              <w:spacing w:after="20"/>
            </w:pPr>
            <w:r/>
            <w:r>
              <w:rPr>
                <w:b w:val="0"/>
                <w:sz w:val="18"/>
              </w:rPr>
              <w:t>Collects and correlates events from multiple sources; supports searches, dashboards, alerts, and investigations.</w:t>
            </w:r>
          </w:p>
        </w:tc>
        <w:tc>
          <w:tcPr>
            <w:tcW w:type="dxa" w:w="3312"/>
            <w:vAlign w:val="center"/>
          </w:tcPr>
          <w:p>
            <w:pPr>
              <w:spacing w:after="20"/>
            </w:pPr>
            <w:r/>
            <w:r>
              <w:rPr>
                <w:b w:val="0"/>
                <w:sz w:val="18"/>
              </w:rPr>
              <w:t>Correlate repeated failed logins with a later successful login and a privilege change.</w:t>
            </w:r>
          </w:p>
        </w:tc>
      </w:tr>
      <w:tr>
        <w:tc>
          <w:tcPr>
            <w:tcW w:type="dxa" w:w="3312"/>
            <w:vAlign w:val="center"/>
          </w:tcPr>
          <w:p>
            <w:pPr>
              <w:spacing w:after="20"/>
            </w:pPr>
            <w:r/>
            <w:r>
              <w:rPr>
                <w:b w:val="0"/>
                <w:sz w:val="18"/>
              </w:rPr>
              <w:t>IDS – Intrusion Detection System</w:t>
            </w:r>
          </w:p>
        </w:tc>
        <w:tc>
          <w:tcPr>
            <w:tcW w:type="dxa" w:w="3312"/>
            <w:vAlign w:val="center"/>
          </w:tcPr>
          <w:p>
            <w:pPr>
              <w:spacing w:after="20"/>
            </w:pPr>
            <w:r/>
            <w:r>
              <w:rPr>
                <w:b w:val="0"/>
                <w:sz w:val="18"/>
              </w:rPr>
              <w:t>Monitors network or host activity and alerts on suspicious patterns; generally detects rather than blocks inline traffic.</w:t>
            </w:r>
          </w:p>
        </w:tc>
        <w:tc>
          <w:tcPr>
            <w:tcW w:type="dxa" w:w="3312"/>
            <w:vAlign w:val="center"/>
          </w:tcPr>
          <w:p>
            <w:pPr>
              <w:spacing w:after="20"/>
            </w:pPr>
            <w:r/>
            <w:r>
              <w:rPr>
                <w:b w:val="0"/>
                <w:sz w:val="18"/>
              </w:rPr>
              <w:t>Generate an alert for traffic matching a known attack signature.</w:t>
            </w:r>
          </w:p>
        </w:tc>
      </w:tr>
      <w:tr>
        <w:tc>
          <w:tcPr>
            <w:tcW w:type="dxa" w:w="3312"/>
            <w:vAlign w:val="center"/>
          </w:tcPr>
          <w:p>
            <w:pPr>
              <w:spacing w:after="20"/>
            </w:pPr>
            <w:r/>
            <w:r>
              <w:rPr>
                <w:b w:val="0"/>
                <w:sz w:val="18"/>
              </w:rPr>
              <w:t>IPS – Intrusion Prevention System</w:t>
            </w:r>
          </w:p>
        </w:tc>
        <w:tc>
          <w:tcPr>
            <w:tcW w:type="dxa" w:w="3312"/>
            <w:vAlign w:val="center"/>
          </w:tcPr>
          <w:p>
            <w:pPr>
              <w:spacing w:after="20"/>
            </w:pPr>
            <w:r/>
            <w:r>
              <w:rPr>
                <w:b w:val="0"/>
                <w:sz w:val="18"/>
              </w:rPr>
              <w:t>Inspects traffic inline and can block activity according to configured rules.</w:t>
            </w:r>
          </w:p>
        </w:tc>
        <w:tc>
          <w:tcPr>
            <w:tcW w:type="dxa" w:w="3312"/>
            <w:vAlign w:val="center"/>
          </w:tcPr>
          <w:p>
            <w:pPr>
              <w:spacing w:after="20"/>
            </w:pPr>
            <w:r/>
            <w:r>
              <w:rPr>
                <w:b w:val="0"/>
                <w:sz w:val="18"/>
              </w:rPr>
              <w:t>Block a confirmed malicious traffic pattern when the rule and deployment are appropriate.</w:t>
            </w:r>
          </w:p>
        </w:tc>
      </w:tr>
      <w:tr>
        <w:tc>
          <w:tcPr>
            <w:tcW w:type="dxa" w:w="3312"/>
            <w:vAlign w:val="center"/>
          </w:tcPr>
          <w:p>
            <w:pPr>
              <w:spacing w:after="20"/>
            </w:pPr>
            <w:r/>
            <w:r>
              <w:rPr>
                <w:b w:val="0"/>
                <w:sz w:val="18"/>
              </w:rPr>
              <w:t>EDR – Endpoint Detection and Response</w:t>
            </w:r>
          </w:p>
        </w:tc>
        <w:tc>
          <w:tcPr>
            <w:tcW w:type="dxa" w:w="3312"/>
            <w:vAlign w:val="center"/>
          </w:tcPr>
          <w:p>
            <w:pPr>
              <w:spacing w:after="20"/>
            </w:pPr>
            <w:r/>
            <w:r>
              <w:rPr>
                <w:b w:val="0"/>
                <w:sz w:val="18"/>
              </w:rPr>
              <w:t>Collects endpoint telemetry and helps detect, investigate, and respond to suspicious process or host activity.</w:t>
            </w:r>
          </w:p>
        </w:tc>
        <w:tc>
          <w:tcPr>
            <w:tcW w:type="dxa" w:w="3312"/>
            <w:vAlign w:val="center"/>
          </w:tcPr>
          <w:p>
            <w:pPr>
              <w:spacing w:after="20"/>
            </w:pPr>
            <w:r/>
            <w:r>
              <w:rPr>
                <w:b w:val="0"/>
                <w:sz w:val="18"/>
              </w:rPr>
              <w:t>Investigate an unusual process chain and isolate a device if authorized.</w:t>
            </w:r>
          </w:p>
        </w:tc>
      </w:tr>
      <w:tr>
        <w:tc>
          <w:tcPr>
            <w:tcW w:type="dxa" w:w="3312"/>
            <w:vAlign w:val="center"/>
          </w:tcPr>
          <w:p>
            <w:pPr>
              <w:spacing w:after="20"/>
            </w:pPr>
            <w:r/>
            <w:r>
              <w:rPr>
                <w:b w:val="0"/>
                <w:sz w:val="18"/>
              </w:rPr>
              <w:t>Firewall</w:t>
            </w:r>
          </w:p>
        </w:tc>
        <w:tc>
          <w:tcPr>
            <w:tcW w:type="dxa" w:w="3312"/>
            <w:vAlign w:val="center"/>
          </w:tcPr>
          <w:p>
            <w:pPr>
              <w:spacing w:after="20"/>
            </w:pPr>
            <w:r/>
            <w:r>
              <w:rPr>
                <w:b w:val="0"/>
                <w:sz w:val="18"/>
              </w:rPr>
              <w:t>Controls network traffic according to security policy.</w:t>
            </w:r>
          </w:p>
        </w:tc>
        <w:tc>
          <w:tcPr>
            <w:tcW w:type="dxa" w:w="3312"/>
            <w:vAlign w:val="center"/>
          </w:tcPr>
          <w:p>
            <w:pPr>
              <w:spacing w:after="20"/>
            </w:pPr>
            <w:r/>
            <w:r>
              <w:rPr>
                <w:b w:val="0"/>
                <w:sz w:val="18"/>
              </w:rPr>
              <w:t>Restrict unnecessary inbound access to a server.</w:t>
            </w:r>
          </w:p>
        </w:tc>
      </w:tr>
      <w:tr>
        <w:tc>
          <w:tcPr>
            <w:tcW w:type="dxa" w:w="3312"/>
            <w:vAlign w:val="center"/>
          </w:tcPr>
          <w:p>
            <w:pPr>
              <w:spacing w:after="20"/>
            </w:pPr>
            <w:r/>
            <w:r>
              <w:rPr>
                <w:b w:val="0"/>
                <w:sz w:val="18"/>
              </w:rPr>
              <w:t>Vulnerability scanner</w:t>
            </w:r>
          </w:p>
        </w:tc>
        <w:tc>
          <w:tcPr>
            <w:tcW w:type="dxa" w:w="3312"/>
            <w:vAlign w:val="center"/>
          </w:tcPr>
          <w:p>
            <w:pPr>
              <w:spacing w:after="20"/>
            </w:pPr>
            <w:r/>
            <w:r>
              <w:rPr>
                <w:b w:val="0"/>
                <w:sz w:val="18"/>
              </w:rPr>
              <w:t>Identifies known vulnerabilities and misconfigurations in authorized assets.</w:t>
            </w:r>
          </w:p>
        </w:tc>
        <w:tc>
          <w:tcPr>
            <w:tcW w:type="dxa" w:w="3312"/>
            <w:vAlign w:val="center"/>
          </w:tcPr>
          <w:p>
            <w:pPr>
              <w:spacing w:after="20"/>
            </w:pPr>
            <w:r/>
            <w:r>
              <w:rPr>
                <w:b w:val="0"/>
                <w:sz w:val="18"/>
              </w:rPr>
              <w:t>Prioritize a critical exposed service for patching.</w:t>
            </w:r>
          </w:p>
        </w:tc>
      </w:tr>
      <w:tr>
        <w:tc>
          <w:tcPr>
            <w:tcW w:type="dxa" w:w="3312"/>
            <w:vAlign w:val="center"/>
          </w:tcPr>
          <w:p>
            <w:pPr>
              <w:spacing w:after="20"/>
            </w:pPr>
            <w:r/>
            <w:r>
              <w:rPr>
                <w:b w:val="0"/>
                <w:sz w:val="18"/>
              </w:rPr>
              <w:t>Packet analyzer</w:t>
            </w:r>
          </w:p>
        </w:tc>
        <w:tc>
          <w:tcPr>
            <w:tcW w:type="dxa" w:w="3312"/>
            <w:vAlign w:val="center"/>
          </w:tcPr>
          <w:p>
            <w:pPr>
              <w:spacing w:after="20"/>
            </w:pPr>
            <w:r/>
            <w:r>
              <w:rPr>
                <w:b w:val="0"/>
                <w:sz w:val="18"/>
              </w:rPr>
              <w:t>Examines network packets to troubleshoot and investigate network activity.</w:t>
            </w:r>
          </w:p>
        </w:tc>
        <w:tc>
          <w:tcPr>
            <w:tcW w:type="dxa" w:w="3312"/>
            <w:vAlign w:val="center"/>
          </w:tcPr>
          <w:p>
            <w:pPr>
              <w:spacing w:after="20"/>
            </w:pPr>
            <w:r/>
            <w:r>
              <w:rPr>
                <w:b w:val="0"/>
                <w:sz w:val="18"/>
              </w:rPr>
              <w:t>Inspect a permitted lab capture to understand DNS, TCP, or HTTP behaviour.</w:t>
            </w:r>
          </w:p>
        </w:tc>
      </w:tr>
    </w:tbl>
    <w:p>
      <w:pPr>
        <w:pStyle w:val="Heading2"/>
      </w:pPr>
      <w:r>
        <w:t>6.1 How these tools work together</w:t>
      </w:r>
    </w:p>
    <w:p>
      <w:r>
        <w:t>An EDR alert may identify a suspicious process on a workstation. The SIEM can correlate that alert with authentication, DNS, and firewall events to show whether the same user or device contacted unusual destinations. An IDS may provide additional network evidence, while a firewall or IPS may enforce an approved block. The analyst documents the combined evidence and follows the incident-response playbook. Tool capabilities differ by vendor and configuration.</w:t>
      </w:r>
    </w:p>
    <w:p>
      <w:pPr>
        <w:pStyle w:val="Heading2"/>
      </w:pPr>
      <w:r>
        <w:t>6.2 Detection quality</w:t>
      </w:r>
    </w:p>
    <w:p>
      <w:r>
        <w:t>A useful alert should provide enough context to investigate: what happened, which asset or user is affected, why it is suspicious, how severe it may be, and what evidence supports the detection. Teams should measure false positives, missed detections where measurable, investigation time, and whether alerts lead to useful action.</w:t>
      </w:r>
    </w:p>
    <w:p>
      <w:pPr>
        <w:pStyle w:val="Heading1"/>
      </w:pPr>
      <w:r>
        <w:t>7. Incident Response Lifecycle</w:t>
      </w:r>
    </w:p>
    <w:p>
      <w:r>
        <w:t>Incident response is a coordinated process for preparing for, detecting, managing, and learning from cybersecurity incidents. NIST SP 800-61 Revision 3, finalized in April 2025, integrates incident-response recommendations into the NIST Cybersecurity Framework 2.0 risk-management approach. Organizations should follow their own approved procedures and applicable reporting requirements.</w:t>
      </w:r>
    </w:p>
    <w:p>
      <w:pPr>
        <w:pStyle w:val="Heading2"/>
      </w:pPr>
      <w:r>
        <w:t>7.1 Practical response stages</w:t>
      </w:r>
    </w:p>
    <w:p>
      <w:pPr>
        <w:pStyle w:val="Heading3"/>
      </w:pPr>
      <w:r>
        <w:t>1. Preparation</w:t>
      </w:r>
    </w:p>
    <w:p>
      <w:r>
        <w:t>Maintain an incident-response plan, contact lists, logging, backups, access controls, trained personnel, and tested playbooks.</w:t>
      </w:r>
    </w:p>
    <w:p>
      <w:pPr>
        <w:pStyle w:val="Heading3"/>
      </w:pPr>
      <w:r>
        <w:t>2. Identification and analysis</w:t>
      </w:r>
    </w:p>
    <w:p>
      <w:r>
        <w:t>Validate the alert, establish a timeline, identify affected accounts and systems, assess severity, and preserve relevant evidence.</w:t>
      </w:r>
    </w:p>
    <w:p>
      <w:pPr>
        <w:pStyle w:val="Heading3"/>
      </w:pPr>
      <w:r>
        <w:t>3. Containment</w:t>
      </w:r>
    </w:p>
    <w:p>
      <w:r>
        <w:t>Limit spread or unauthorized access. Depending on the case, this may include isolating an endpoint, disabling a compromised account, revoking sessions, or restricting network access. Follow authorization and business-continuity procedures.</w:t>
      </w:r>
    </w:p>
    <w:p>
      <w:pPr>
        <w:pStyle w:val="Heading3"/>
      </w:pPr>
      <w:r>
        <w:t>4. Eradication</w:t>
      </w:r>
    </w:p>
    <w:p>
      <w:r>
        <w:t>Remove the cause of the incident, such as malicious files, unauthorized persistence, compromised credentials, or the exploited weakness.</w:t>
      </w:r>
    </w:p>
    <w:p>
      <w:pPr>
        <w:pStyle w:val="Heading3"/>
      </w:pPr>
      <w:r>
        <w:t>5. Recovery</w:t>
      </w:r>
    </w:p>
    <w:p>
      <w:r>
        <w:t>Restore systems from trusted sources, patch weaknesses, rotate affected credentials, validate normal operation, and monitor for recurrence.</w:t>
      </w:r>
    </w:p>
    <w:p>
      <w:pPr>
        <w:pStyle w:val="Heading3"/>
      </w:pPr>
      <w:r>
        <w:t>6. Lessons learned and improvement</w:t>
      </w:r>
    </w:p>
    <w:p>
      <w:r>
        <w:t>Document root cause, impact, decisions, evidence, response timing, and improvements to controls, training, and detections.</w:t>
      </w:r>
    </w:p>
    <w:p>
      <w:pPr>
        <w:pStyle w:val="Heading2"/>
      </w:pPr>
      <w:r>
        <w:t>7.2 Evidence handling</w:t>
      </w:r>
    </w:p>
    <w:p>
      <w:pPr>
        <w:pStyle w:val="ListBullet"/>
        <w:spacing w:after="40"/>
      </w:pPr>
      <w:r>
        <w:t>Record the date, time, source, and person who collected each item of evidence.</w:t>
      </w:r>
    </w:p>
    <w:p>
      <w:pPr>
        <w:pStyle w:val="ListBullet"/>
        <w:spacing w:after="40"/>
      </w:pPr>
      <w:r>
        <w:t>Preserve original records when possible and work from copies for analysis.</w:t>
      </w:r>
    </w:p>
    <w:p>
      <w:pPr>
        <w:pStyle w:val="ListBullet"/>
        <w:spacing w:after="40"/>
      </w:pPr>
      <w:r>
        <w:t>Limit evidence access to authorized personnel and store it securely.</w:t>
      </w:r>
    </w:p>
    <w:p>
      <w:pPr>
        <w:pStyle w:val="ListBullet"/>
        <w:spacing w:after="40"/>
      </w:pPr>
      <w:r>
        <w:t>Document actions taken and avoid unnecessary changes to potentially affected systems.</w:t>
      </w:r>
    </w:p>
    <w:p>
      <w:pPr>
        <w:pStyle w:val="ListBullet"/>
        <w:spacing w:after="40"/>
      </w:pPr>
      <w:r>
        <w:t>Follow organizational policy and applicable legal requirements for privacy, retention, and reporting.</w:t>
      </w:r>
    </w:p>
    <w:p>
      <w:pPr>
        <w:pStyle w:val="Heading1"/>
      </w:pPr>
      <w:r>
        <w:t>8. Practical Scenario: Suspicious Login Activity</w:t>
      </w:r>
    </w:p>
    <w:p>
      <w:r>
        <w:t>Scenario: A SIEM rule alerts on multiple failed sign-in attempts against one account, followed by a successful sign-in from an unfamiliar source. The alert is fictional and intended to demonstrate a safe defensive workflow.</w:t>
      </w:r>
    </w:p>
    <w:p>
      <w:pPr>
        <w:pStyle w:val="Heading2"/>
      </w:pPr>
      <w:r>
        <w:t>8.1 Triage and investigation</w:t>
      </w:r>
    </w:p>
    <w:p>
      <w:pPr>
        <w:pStyle w:val="ListNumber"/>
        <w:spacing w:after="40"/>
      </w:pPr>
      <w:r>
        <w:t>Confirm the alert details: affected account, source, timestamps, authentication result, and rule that triggered.</w:t>
      </w:r>
    </w:p>
    <w:p>
      <w:pPr>
        <w:pStyle w:val="ListNumber"/>
        <w:spacing w:after="40"/>
      </w:pPr>
      <w:r>
        <w:t>Check identity-provider logs for MFA results, device information, session creation, and other sign-in attempts.</w:t>
      </w:r>
    </w:p>
    <w:p>
      <w:pPr>
        <w:pStyle w:val="ListNumber"/>
        <w:spacing w:after="40"/>
      </w:pPr>
      <w:r>
        <w:t>Search for related events involving the same source, account, device, or time window.</w:t>
      </w:r>
    </w:p>
    <w:p>
      <w:pPr>
        <w:pStyle w:val="ListNumber"/>
        <w:spacing w:after="40"/>
      </w:pPr>
      <w:r>
        <w:t>Compare the activity with the user's normal behaviour and verify with the user or responsible team using a trusted contact method.</w:t>
      </w:r>
    </w:p>
    <w:p>
      <w:pPr>
        <w:pStyle w:val="ListNumber"/>
        <w:spacing w:after="40"/>
      </w:pPr>
      <w:r>
        <w:t>Determine whether there is evidence of unauthorized access, sensitive data access, or account changes.</w:t>
      </w:r>
    </w:p>
    <w:p>
      <w:pPr>
        <w:pStyle w:val="ListNumber"/>
        <w:spacing w:after="40"/>
      </w:pPr>
      <w:r>
        <w:t>Assign a severity based on confidence, privilege level, affected assets, and potential impact; escalate when policy requires.</w:t>
      </w:r>
    </w:p>
    <w:p>
      <w:pPr>
        <w:pStyle w:val="Heading2"/>
      </w:pPr>
      <w:r>
        <w:t>8.2 Example response decision</w:t>
      </w:r>
    </w:p>
    <w:p>
      <w:r>
        <w:t>If the investigation confirms or strongly indicates account compromise, the incident responder may disable or restrict the account, revoke active sessions, reset credentials, verify MFA settings, and review activity performed by the account. Any action that could interrupt a business service should follow the organization's authorization and escalation process. The team should preserve logs and monitor for repeated attempts or related accounts.</w:t>
      </w:r>
    </w:p>
    <w:p>
      <w:pPr>
        <w:pStyle w:val="Heading2"/>
      </w:pPr>
      <w:r>
        <w:t>8.3 Example incident record</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pPr>
              <w:spacing w:after="20"/>
            </w:pPr>
            <w:r/>
            <w:r>
              <w:rPr>
                <w:b/>
                <w:sz w:val="18"/>
              </w:rPr>
              <w:t>Field</w:t>
            </w:r>
          </w:p>
        </w:tc>
        <w:tc>
          <w:tcPr>
            <w:tcW w:type="dxa" w:w="4968"/>
            <w:vAlign w:val="center"/>
          </w:tcPr>
          <w:p>
            <w:pPr>
              <w:spacing w:after="20"/>
            </w:pPr>
            <w:r/>
            <w:r>
              <w:rPr>
                <w:b/>
                <w:sz w:val="18"/>
              </w:rPr>
              <w:t>Example entry</w:t>
            </w:r>
          </w:p>
        </w:tc>
      </w:tr>
      <w:tr>
        <w:tc>
          <w:tcPr>
            <w:tcW w:type="dxa" w:w="4968"/>
            <w:vAlign w:val="center"/>
          </w:tcPr>
          <w:p>
            <w:pPr>
              <w:spacing w:after="20"/>
            </w:pPr>
            <w:r/>
            <w:r>
              <w:rPr>
                <w:b/>
                <w:sz w:val="18"/>
              </w:rPr>
              <w:t>Incident ID</w:t>
            </w:r>
          </w:p>
        </w:tc>
        <w:tc>
          <w:tcPr>
            <w:tcW w:type="dxa" w:w="4968"/>
            <w:vAlign w:val="center"/>
          </w:tcPr>
          <w:p>
            <w:pPr>
              <w:spacing w:after="20"/>
            </w:pPr>
            <w:r/>
            <w:r>
              <w:rPr>
                <w:b w:val="0"/>
                <w:sz w:val="18"/>
              </w:rPr>
              <w:t>SOC-TRAINING-001</w:t>
            </w:r>
          </w:p>
        </w:tc>
      </w:tr>
      <w:tr>
        <w:tc>
          <w:tcPr>
            <w:tcW w:type="dxa" w:w="4968"/>
            <w:vAlign w:val="center"/>
          </w:tcPr>
          <w:p>
            <w:pPr>
              <w:spacing w:after="20"/>
            </w:pPr>
            <w:r/>
            <w:r>
              <w:rPr>
                <w:b/>
                <w:sz w:val="18"/>
              </w:rPr>
              <w:t>Title</w:t>
            </w:r>
          </w:p>
        </w:tc>
        <w:tc>
          <w:tcPr>
            <w:tcW w:type="dxa" w:w="4968"/>
            <w:vAlign w:val="center"/>
          </w:tcPr>
          <w:p>
            <w:pPr>
              <w:spacing w:after="20"/>
            </w:pPr>
            <w:r/>
            <w:r>
              <w:rPr>
                <w:b w:val="0"/>
                <w:sz w:val="18"/>
              </w:rPr>
              <w:t>Repeated failed logins followed by unusual successful sign-in</w:t>
            </w:r>
          </w:p>
        </w:tc>
      </w:tr>
      <w:tr>
        <w:tc>
          <w:tcPr>
            <w:tcW w:type="dxa" w:w="4968"/>
            <w:vAlign w:val="center"/>
          </w:tcPr>
          <w:p>
            <w:pPr>
              <w:spacing w:after="20"/>
            </w:pPr>
            <w:r/>
            <w:r>
              <w:rPr>
                <w:b/>
                <w:sz w:val="18"/>
              </w:rPr>
              <w:t>Status</w:t>
            </w:r>
          </w:p>
        </w:tc>
        <w:tc>
          <w:tcPr>
            <w:tcW w:type="dxa" w:w="4968"/>
            <w:vAlign w:val="center"/>
          </w:tcPr>
          <w:p>
            <w:pPr>
              <w:spacing w:after="20"/>
            </w:pPr>
            <w:r/>
            <w:r>
              <w:rPr>
                <w:b w:val="0"/>
                <w:sz w:val="18"/>
              </w:rPr>
              <w:t>Under investigation (training scenario)</w:t>
            </w:r>
          </w:p>
        </w:tc>
      </w:tr>
      <w:tr>
        <w:tc>
          <w:tcPr>
            <w:tcW w:type="dxa" w:w="4968"/>
            <w:vAlign w:val="center"/>
          </w:tcPr>
          <w:p>
            <w:pPr>
              <w:spacing w:after="20"/>
            </w:pPr>
            <w:r/>
            <w:r>
              <w:rPr>
                <w:b/>
                <w:sz w:val="18"/>
              </w:rPr>
              <w:t>Affected asset</w:t>
            </w:r>
          </w:p>
        </w:tc>
        <w:tc>
          <w:tcPr>
            <w:tcW w:type="dxa" w:w="4968"/>
            <w:vAlign w:val="center"/>
          </w:tcPr>
          <w:p>
            <w:pPr>
              <w:spacing w:after="20"/>
            </w:pPr>
            <w:r/>
            <w:r>
              <w:rPr>
                <w:b w:val="0"/>
                <w:sz w:val="18"/>
              </w:rPr>
              <w:t>User account: alex</w:t>
            </w:r>
          </w:p>
        </w:tc>
      </w:tr>
      <w:tr>
        <w:tc>
          <w:tcPr>
            <w:tcW w:type="dxa" w:w="4968"/>
            <w:vAlign w:val="center"/>
          </w:tcPr>
          <w:p>
            <w:pPr>
              <w:spacing w:after="20"/>
            </w:pPr>
            <w:r/>
            <w:r>
              <w:rPr>
                <w:b/>
                <w:sz w:val="18"/>
              </w:rPr>
              <w:t>Evidence</w:t>
            </w:r>
          </w:p>
        </w:tc>
        <w:tc>
          <w:tcPr>
            <w:tcW w:type="dxa" w:w="4968"/>
            <w:vAlign w:val="center"/>
          </w:tcPr>
          <w:p>
            <w:pPr>
              <w:spacing w:after="20"/>
            </w:pPr>
            <w:r/>
            <w:r>
              <w:rPr>
                <w:b w:val="0"/>
                <w:sz w:val="18"/>
              </w:rPr>
              <w:t>Authentication records, MFA events, device and session details</w:t>
            </w:r>
          </w:p>
        </w:tc>
      </w:tr>
      <w:tr>
        <w:tc>
          <w:tcPr>
            <w:tcW w:type="dxa" w:w="4968"/>
            <w:vAlign w:val="center"/>
          </w:tcPr>
          <w:p>
            <w:pPr>
              <w:spacing w:after="20"/>
            </w:pPr>
            <w:r/>
            <w:r>
              <w:rPr>
                <w:b/>
                <w:sz w:val="18"/>
              </w:rPr>
              <w:t>Initial assessment</w:t>
            </w:r>
          </w:p>
        </w:tc>
        <w:tc>
          <w:tcPr>
            <w:tcW w:type="dxa" w:w="4968"/>
            <w:vAlign w:val="center"/>
          </w:tcPr>
          <w:p>
            <w:pPr>
              <w:spacing w:after="20"/>
            </w:pPr>
            <w:r/>
            <w:r>
              <w:rPr>
                <w:b w:val="0"/>
                <w:sz w:val="18"/>
              </w:rPr>
              <w:t>Potential credential compromise; not confirmed from failed logins alone</w:t>
            </w:r>
          </w:p>
        </w:tc>
      </w:tr>
      <w:tr>
        <w:tc>
          <w:tcPr>
            <w:tcW w:type="dxa" w:w="4968"/>
            <w:vAlign w:val="center"/>
          </w:tcPr>
          <w:p>
            <w:pPr>
              <w:spacing w:after="20"/>
            </w:pPr>
            <w:r/>
            <w:r>
              <w:rPr>
                <w:b/>
                <w:sz w:val="18"/>
              </w:rPr>
              <w:t>Recommended actions</w:t>
            </w:r>
          </w:p>
        </w:tc>
        <w:tc>
          <w:tcPr>
            <w:tcW w:type="dxa" w:w="4968"/>
            <w:vAlign w:val="center"/>
          </w:tcPr>
          <w:p>
            <w:pPr>
              <w:spacing w:after="20"/>
            </w:pPr>
            <w:r/>
            <w:r>
              <w:rPr>
                <w:b w:val="0"/>
                <w:sz w:val="18"/>
              </w:rPr>
              <w:t>Validate user activity, inspect related logs, escalate if suspicious, and apply approved account protections</w:t>
            </w:r>
          </w:p>
        </w:tc>
      </w:tr>
      <w:tr>
        <w:tc>
          <w:tcPr>
            <w:tcW w:type="dxa" w:w="4968"/>
            <w:vAlign w:val="center"/>
          </w:tcPr>
          <w:p>
            <w:pPr>
              <w:spacing w:after="20"/>
            </w:pPr>
            <w:r/>
            <w:r>
              <w:rPr>
                <w:b/>
                <w:sz w:val="18"/>
              </w:rPr>
              <w:t>Closure criteria</w:t>
            </w:r>
          </w:p>
        </w:tc>
        <w:tc>
          <w:tcPr>
            <w:tcW w:type="dxa" w:w="4968"/>
            <w:vAlign w:val="center"/>
          </w:tcPr>
          <w:p>
            <w:pPr>
              <w:spacing w:after="20"/>
            </w:pPr>
            <w:r/>
            <w:r>
              <w:rPr>
                <w:b w:val="0"/>
                <w:sz w:val="18"/>
              </w:rPr>
              <w:t>Activity explained or contained; scope assessed; evidence documented; corrective actions and lessons recorded</w:t>
            </w:r>
          </w:p>
        </w:tc>
      </w:tr>
    </w:tbl>
    <w:p>
      <w:pPr>
        <w:pStyle w:val="Heading1"/>
      </w:pPr>
      <w:r>
        <w:t>9. Common SOC Challenges and Recommended Practices</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pPr>
              <w:spacing w:after="20"/>
            </w:pPr>
            <w:r/>
            <w:r>
              <w:rPr>
                <w:b/>
                <w:sz w:val="18"/>
              </w:rPr>
              <w:t>Challenge</w:t>
            </w:r>
          </w:p>
        </w:tc>
        <w:tc>
          <w:tcPr>
            <w:tcW w:type="dxa" w:w="4968"/>
            <w:vAlign w:val="center"/>
          </w:tcPr>
          <w:p>
            <w:pPr>
              <w:spacing w:after="20"/>
            </w:pPr>
            <w:r/>
            <w:r>
              <w:rPr>
                <w:b/>
                <w:sz w:val="18"/>
              </w:rPr>
              <w:t>Recommended practice</w:t>
            </w:r>
          </w:p>
        </w:tc>
      </w:tr>
      <w:tr>
        <w:tc>
          <w:tcPr>
            <w:tcW w:type="dxa" w:w="4968"/>
            <w:vAlign w:val="center"/>
          </w:tcPr>
          <w:p>
            <w:pPr>
              <w:spacing w:after="20"/>
            </w:pPr>
            <w:r/>
            <w:r>
              <w:rPr>
                <w:b w:val="0"/>
                <w:sz w:val="18"/>
              </w:rPr>
              <w:t>Alert fatigue and false positives</w:t>
            </w:r>
          </w:p>
        </w:tc>
        <w:tc>
          <w:tcPr>
            <w:tcW w:type="dxa" w:w="4968"/>
            <w:vAlign w:val="center"/>
          </w:tcPr>
          <w:p>
            <w:pPr>
              <w:spacing w:after="20"/>
            </w:pPr>
            <w:r/>
            <w:r>
              <w:rPr>
                <w:b w:val="0"/>
                <w:sz w:val="18"/>
              </w:rPr>
              <w:t>Tune detection rules, add context, prioritize by risk, and regularly review noisy alerts.</w:t>
            </w:r>
          </w:p>
        </w:tc>
      </w:tr>
      <w:tr>
        <w:tc>
          <w:tcPr>
            <w:tcW w:type="dxa" w:w="4968"/>
            <w:vAlign w:val="center"/>
          </w:tcPr>
          <w:p>
            <w:pPr>
              <w:spacing w:after="20"/>
            </w:pPr>
            <w:r/>
            <w:r>
              <w:rPr>
                <w:b w:val="0"/>
                <w:sz w:val="18"/>
              </w:rPr>
              <w:t>Incomplete or inconsistent logs</w:t>
            </w:r>
          </w:p>
        </w:tc>
        <w:tc>
          <w:tcPr>
            <w:tcW w:type="dxa" w:w="4968"/>
            <w:vAlign w:val="center"/>
          </w:tcPr>
          <w:p>
            <w:pPr>
              <w:spacing w:after="20"/>
            </w:pPr>
            <w:r/>
            <w:r>
              <w:rPr>
                <w:b w:val="0"/>
                <w:sz w:val="18"/>
              </w:rPr>
              <w:t>Define essential log sources, standardize timestamps and fields, monitor collection health, and test retention.</w:t>
            </w:r>
          </w:p>
        </w:tc>
      </w:tr>
      <w:tr>
        <w:tc>
          <w:tcPr>
            <w:tcW w:type="dxa" w:w="4968"/>
            <w:vAlign w:val="center"/>
          </w:tcPr>
          <w:p>
            <w:pPr>
              <w:spacing w:after="20"/>
            </w:pPr>
            <w:r/>
            <w:r>
              <w:rPr>
                <w:b w:val="0"/>
                <w:sz w:val="18"/>
              </w:rPr>
              <w:t>Too many tools and disconnected data</w:t>
            </w:r>
          </w:p>
        </w:tc>
        <w:tc>
          <w:tcPr>
            <w:tcW w:type="dxa" w:w="4968"/>
            <w:vAlign w:val="center"/>
          </w:tcPr>
          <w:p>
            <w:pPr>
              <w:spacing w:after="20"/>
            </w:pPr>
            <w:r/>
            <w:r>
              <w:rPr>
                <w:b w:val="0"/>
                <w:sz w:val="18"/>
              </w:rPr>
              <w:t>Integrate key telemetry where practical and document which tool is authoritative for each data type.</w:t>
            </w:r>
          </w:p>
        </w:tc>
      </w:tr>
      <w:tr>
        <w:tc>
          <w:tcPr>
            <w:tcW w:type="dxa" w:w="4968"/>
            <w:vAlign w:val="center"/>
          </w:tcPr>
          <w:p>
            <w:pPr>
              <w:spacing w:after="20"/>
            </w:pPr>
            <w:r/>
            <w:r>
              <w:rPr>
                <w:b w:val="0"/>
                <w:sz w:val="18"/>
              </w:rPr>
              <w:t>Limited staff and time</w:t>
            </w:r>
          </w:p>
        </w:tc>
        <w:tc>
          <w:tcPr>
            <w:tcW w:type="dxa" w:w="4968"/>
            <w:vAlign w:val="center"/>
          </w:tcPr>
          <w:p>
            <w:pPr>
              <w:spacing w:after="20"/>
            </w:pPr>
            <w:r/>
            <w:r>
              <w:rPr>
                <w:b w:val="0"/>
                <w:sz w:val="18"/>
              </w:rPr>
              <w:t>Use severity-based triage, repeatable playbooks, automation with safeguards, and clear escalation paths.</w:t>
            </w:r>
          </w:p>
        </w:tc>
      </w:tr>
      <w:tr>
        <w:tc>
          <w:tcPr>
            <w:tcW w:type="dxa" w:w="4968"/>
            <w:vAlign w:val="center"/>
          </w:tcPr>
          <w:p>
            <w:pPr>
              <w:spacing w:after="20"/>
            </w:pPr>
            <w:r/>
            <w:r>
              <w:rPr>
                <w:b w:val="0"/>
                <w:sz w:val="18"/>
              </w:rPr>
              <w:t>Changing threats</w:t>
            </w:r>
          </w:p>
        </w:tc>
        <w:tc>
          <w:tcPr>
            <w:tcW w:type="dxa" w:w="4968"/>
            <w:vAlign w:val="center"/>
          </w:tcPr>
          <w:p>
            <w:pPr>
              <w:spacing w:after="20"/>
            </w:pPr>
            <w:r/>
            <w:r>
              <w:rPr>
                <w:b w:val="0"/>
                <w:sz w:val="18"/>
              </w:rPr>
              <w:t>Review trusted advisories, update detections, use threat frameworks, and practice realistic scenarios.</w:t>
            </w:r>
          </w:p>
        </w:tc>
      </w:tr>
      <w:tr>
        <w:tc>
          <w:tcPr>
            <w:tcW w:type="dxa" w:w="4968"/>
            <w:vAlign w:val="center"/>
          </w:tcPr>
          <w:p>
            <w:pPr>
              <w:spacing w:after="20"/>
            </w:pPr>
            <w:r/>
            <w:r>
              <w:rPr>
                <w:b w:val="0"/>
                <w:sz w:val="18"/>
              </w:rPr>
              <w:t>Unclear ownership</w:t>
            </w:r>
          </w:p>
        </w:tc>
        <w:tc>
          <w:tcPr>
            <w:tcW w:type="dxa" w:w="4968"/>
            <w:vAlign w:val="center"/>
          </w:tcPr>
          <w:p>
            <w:pPr>
              <w:spacing w:after="20"/>
            </w:pPr>
            <w:r/>
            <w:r>
              <w:rPr>
                <w:b w:val="0"/>
                <w:sz w:val="18"/>
              </w:rPr>
              <w:t>Maintain an asset inventory, identify service owners, and keep escalation contacts current.</w:t>
            </w:r>
          </w:p>
        </w:tc>
      </w:tr>
      <w:tr>
        <w:tc>
          <w:tcPr>
            <w:tcW w:type="dxa" w:w="4968"/>
            <w:vAlign w:val="center"/>
          </w:tcPr>
          <w:p>
            <w:pPr>
              <w:spacing w:after="20"/>
            </w:pPr>
            <w:r/>
            <w:r>
              <w:rPr>
                <w:b w:val="0"/>
                <w:sz w:val="18"/>
              </w:rPr>
              <w:t>Evidence and privacy risks</w:t>
            </w:r>
          </w:p>
        </w:tc>
        <w:tc>
          <w:tcPr>
            <w:tcW w:type="dxa" w:w="4968"/>
            <w:vAlign w:val="center"/>
          </w:tcPr>
          <w:p>
            <w:pPr>
              <w:spacing w:after="20"/>
            </w:pPr>
            <w:r/>
            <w:r>
              <w:rPr>
                <w:b w:val="0"/>
                <w:sz w:val="18"/>
              </w:rPr>
              <w:t>Use least privilege, secure evidence storage, retain only necessary data, and follow policy and law.</w:t>
            </w:r>
          </w:p>
        </w:tc>
      </w:tr>
      <w:tr>
        <w:tc>
          <w:tcPr>
            <w:tcW w:type="dxa" w:w="4968"/>
            <w:vAlign w:val="center"/>
          </w:tcPr>
          <w:p>
            <w:pPr>
              <w:spacing w:after="20"/>
            </w:pPr>
            <w:r/>
            <w:r>
              <w:rPr>
                <w:b w:val="0"/>
                <w:sz w:val="18"/>
              </w:rPr>
              <w:t>Weak recovery readiness</w:t>
            </w:r>
          </w:p>
        </w:tc>
        <w:tc>
          <w:tcPr>
            <w:tcW w:type="dxa" w:w="4968"/>
            <w:vAlign w:val="center"/>
          </w:tcPr>
          <w:p>
            <w:pPr>
              <w:spacing w:after="20"/>
            </w:pPr>
            <w:r/>
            <w:r>
              <w:rPr>
                <w:b w:val="0"/>
                <w:sz w:val="18"/>
              </w:rPr>
              <w:t>Maintain tested backups, patch systems, review access, and conduct tabletop exercises.</w:t>
            </w:r>
          </w:p>
        </w:tc>
      </w:tr>
    </w:tbl>
    <w:p>
      <w:pPr>
        <w:pStyle w:val="Heading2"/>
      </w:pPr>
      <w:r>
        <w:t>9.1 Recommended security practices</w:t>
      </w:r>
    </w:p>
    <w:p>
      <w:pPr>
        <w:pStyle w:val="ListBullet"/>
        <w:spacing w:after="40"/>
      </w:pPr>
      <w:r>
        <w:t>Enable multi-factor authentication, especially for administrator and remote-access accounts.</w:t>
      </w:r>
    </w:p>
    <w:p>
      <w:pPr>
        <w:pStyle w:val="ListBullet"/>
        <w:spacing w:after="40"/>
      </w:pPr>
      <w:r>
        <w:t>Apply security patches according to risk and maintain an accurate inventory of assets.</w:t>
      </w:r>
    </w:p>
    <w:p>
      <w:pPr>
        <w:pStyle w:val="ListBullet"/>
        <w:spacing w:after="40"/>
      </w:pPr>
      <w:r>
        <w:t>Use least privilege and review permissions regularly.</w:t>
      </w:r>
    </w:p>
    <w:p>
      <w:pPr>
        <w:pStyle w:val="ListBullet"/>
        <w:spacing w:after="40"/>
      </w:pPr>
      <w:r>
        <w:t>Centralize important logs and protect them against unauthorized alteration.</w:t>
      </w:r>
    </w:p>
    <w:p>
      <w:pPr>
        <w:pStyle w:val="ListBullet"/>
        <w:spacing w:after="40"/>
      </w:pPr>
      <w:r>
        <w:t>Maintain tested, protected backups and a documented recovery plan.</w:t>
      </w:r>
    </w:p>
    <w:p>
      <w:pPr>
        <w:pStyle w:val="ListBullet"/>
        <w:spacing w:after="40"/>
      </w:pPr>
      <w:r>
        <w:t>Train users to report suspicious messages and authentication prompts.</w:t>
      </w:r>
    </w:p>
    <w:p>
      <w:pPr>
        <w:pStyle w:val="ListBullet"/>
        <w:spacing w:after="40"/>
      </w:pPr>
      <w:r>
        <w:t>Run authorized vulnerability assessments and remediate findings based on risk.</w:t>
      </w:r>
    </w:p>
    <w:p>
      <w:pPr>
        <w:pStyle w:val="ListBullet"/>
        <w:spacing w:after="40"/>
      </w:pPr>
      <w:r>
        <w:t>Test incident-response procedures and review lessons after exercises or real incidents.</w:t>
      </w:r>
    </w:p>
    <w:p>
      <w:pPr>
        <w:pStyle w:val="Heading2"/>
      </w:pPr>
      <w:r>
        <w:t>9.2 Simple metrics for improvement</w:t>
      </w:r>
    </w:p>
    <w:p>
      <w:r>
        <w:t>A SOC may track mean time to acknowledge an alert, mean time to investigate, mean time to contain an incident, percentage of critical assets sending logs, alert false-positive rate, playbook completion, and remediation of high-risk findings. Metrics should be interpreted with context rather than used as isolated performance targets.</w:t>
      </w:r>
    </w:p>
    <w:p>
      <w:pPr>
        <w:pStyle w:val="Heading1"/>
      </w:pPr>
      <w:r>
        <w:t>10. Conclusion</w:t>
      </w:r>
    </w:p>
    <w:p>
      <w:r>
        <w:t>This assessment reviewed the foundational work of a Security Operations Center, including the SOC analyst's responsibilities, common threats and IOCs, security monitoring, log analysis, SIEM, IDS, IPS, EDR, and incident response. It demonstrated that effective analysis requires correlation of evidence and careful validation rather than reacting to a single alert without context.</w:t>
      </w:r>
    </w:p>
    <w:p>
      <w:r>
        <w:t>A capable SOC combines people, processes, and technology. Reliable logging and well-designed detections support visibility; documented playbooks and clear escalation improve response; and lessons learned help strengthen security over time. By practising these concepts in authorized lab environments, learners can develop the analytical, technical, and communication skills needed for entry-level defensive cybersecurity work.</w:t>
      </w:r>
    </w:p>
    <w:p>
      <w:pPr>
        <w:pStyle w:val="Heading1"/>
      </w:pPr>
      <w:r>
        <w:t>11. References</w:t>
      </w:r>
    </w:p>
    <w:p>
      <w:pPr>
        <w:pStyle w:val="ListNumber"/>
        <w:spacing w:after="60"/>
      </w:pPr>
      <w:r>
        <w:rPr>
          <w:b/>
        </w:rPr>
        <w:t xml:space="preserve">National Institute of Standards and Technology (NIST). </w:t>
      </w:r>
      <w:r>
        <w:t xml:space="preserve">Incident Response: NIST SP 800-61 Rev. 3 and related project information. </w:t>
      </w:r>
      <w:r>
        <w:t>https://csrc.nist.gov/projects/incident-response</w:t>
      </w:r>
    </w:p>
    <w:p>
      <w:pPr>
        <w:pStyle w:val="ListNumber"/>
        <w:spacing w:after="60"/>
      </w:pPr>
      <w:r>
        <w:rPr>
          <w:b/>
        </w:rPr>
        <w:t xml:space="preserve">NIST. </w:t>
      </w:r>
      <w:r>
        <w:t xml:space="preserve">SP 800-61 Rev. 3: Incident Response Recommendations and Considerations for Cybersecurity Risk Management. </w:t>
      </w:r>
      <w:r>
        <w:t>https://csrc.nist.gov/pubs/sp/800/61/r3/final</w:t>
      </w:r>
    </w:p>
    <w:p>
      <w:pPr>
        <w:pStyle w:val="ListNumber"/>
        <w:spacing w:after="60"/>
      </w:pPr>
      <w:r>
        <w:rPr>
          <w:b/>
        </w:rPr>
        <w:t xml:space="preserve">MITRE. </w:t>
      </w:r>
      <w:r>
        <w:t xml:space="preserve">MITRE ATT&amp;CK Enterprise Matrix: knowledge base of adversary tactics and techniques. </w:t>
      </w:r>
      <w:r>
        <w:t>https://attack.mitre.org/matrices/enterprise/</w:t>
      </w:r>
    </w:p>
    <w:p>
      <w:pPr>
        <w:pStyle w:val="ListNumber"/>
        <w:spacing w:after="60"/>
      </w:pPr>
      <w:r>
        <w:rPr>
          <w:b/>
        </w:rPr>
        <w:t xml:space="preserve">Cybersecurity and Infrastructure Security Agency (CISA). </w:t>
      </w:r>
      <w:r>
        <w:t xml:space="preserve">Cybersecurity guidance and resources. </w:t>
      </w:r>
      <w:r>
        <w:t>https://www.cisa.gov/resources-tools</w:t>
      </w:r>
    </w:p>
    <w:p/>
    <w:p>
      <w:pPr>
        <w:jc w:val="center"/>
      </w:pPr>
      <w:r>
        <w:rPr>
          <w:b/>
          <w:color w:val="EB5F00"/>
        </w:rPr>
        <w:t>End of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Security Fundamentals Assessment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YUVA INTERNSHIP  |  SECURITY FUNDAMENTALS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437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4375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437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b/>
      <w:color w:val="1437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