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9A74B" w14:textId="77777777" w:rsid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Multi-Sector Financial Performance Analysis</w:t>
      </w:r>
      <w:r w:rsidRPr="00446713">
        <w:rPr>
          <w:rFonts w:ascii="Times New Roman" w:eastAsia="Times New Roman" w:hAnsi="Times New Roman" w:cs="Times New Roman"/>
          <w:sz w:val="24"/>
          <w:szCs w:val="24"/>
        </w:rPr>
        <w:t xml:space="preserve"> </w:t>
      </w:r>
      <w:r w:rsidRPr="00446713">
        <w:rPr>
          <w:rFonts w:ascii="Times New Roman" w:eastAsia="Times New Roman" w:hAnsi="Times New Roman" w:cs="Times New Roman"/>
          <w:b/>
          <w:bCs/>
          <w:sz w:val="24"/>
          <w:szCs w:val="24"/>
        </w:rPr>
        <w:t>Q2 FY24 – Q4 FY26</w:t>
      </w:r>
      <w:r w:rsidRPr="00446713">
        <w:rPr>
          <w:rFonts w:ascii="Times New Roman" w:eastAsia="Times New Roman" w:hAnsi="Times New Roman" w:cs="Times New Roman"/>
          <w:sz w:val="24"/>
          <w:szCs w:val="24"/>
        </w:rPr>
        <w:t xml:space="preserve"> </w:t>
      </w:r>
    </w:p>
    <w:p w14:paraId="35686D3D" w14:textId="4A2E1780" w:rsidR="00446713" w:rsidRPr="00446713" w:rsidRDefault="00446713" w:rsidP="005F61D1">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 xml:space="preserve"> Equity Research Note</w:t>
      </w:r>
    </w:p>
    <w:p w14:paraId="0233889E" w14:textId="77777777"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Objective</w:t>
      </w:r>
    </w:p>
    <w:p w14:paraId="1B01B0DF" w14:textId="74270A3E" w:rsidR="00446713" w:rsidRPr="00446713" w:rsidRDefault="00446713" w:rsidP="005F61D1">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Tracked and analyzed 8 quarters of financial performance across 5 companies spanning Pharma, FMCG, Paints, Banking, and Auto sectors. The goal was to identify which sectors demonstrated consistent growth, where margins held up under pressure, and where anomalies signaled deeper business shifts.</w:t>
      </w:r>
    </w:p>
    <w:p w14:paraId="2AEB1EAC" w14:textId="77777777"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Key Findings</w:t>
      </w:r>
    </w:p>
    <w:p w14:paraId="19048726" w14:textId="75D57E86"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1. Sun Pharma is the margin king</w:t>
      </w:r>
      <w:r>
        <w:rPr>
          <w:rFonts w:ascii="Times New Roman" w:eastAsia="Times New Roman" w:hAnsi="Times New Roman" w:cs="Times New Roman"/>
          <w:b/>
          <w:bCs/>
          <w:sz w:val="24"/>
          <w:szCs w:val="24"/>
        </w:rPr>
        <w:t>,</w:t>
      </w:r>
      <w:r w:rsidRPr="00446713">
        <w:rPr>
          <w:rFonts w:ascii="Times New Roman" w:eastAsia="Times New Roman" w:hAnsi="Times New Roman" w:cs="Times New Roman"/>
          <w:b/>
          <w:bCs/>
          <w:sz w:val="24"/>
          <w:szCs w:val="24"/>
        </w:rPr>
        <w:t xml:space="preserve"> but showed a worrying dip</w:t>
      </w:r>
      <w:r w:rsidRPr="00446713">
        <w:rPr>
          <w:rFonts w:ascii="Times New Roman" w:eastAsia="Times New Roman" w:hAnsi="Times New Roman" w:cs="Times New Roman"/>
          <w:sz w:val="24"/>
          <w:szCs w:val="24"/>
        </w:rPr>
        <w:t xml:space="preserve"> Sun Pharma consistently delivered the highest OPM% across all 5 companies, averaging 30% over 8 quarters. That kind of margin efficiency in a capital-intensive industry is impressive. However, MAR'26 saw both revenue and operating profit drop simultaneously</w:t>
      </w:r>
      <w:r>
        <w:rPr>
          <w:rFonts w:ascii="Times New Roman" w:eastAsia="Times New Roman" w:hAnsi="Times New Roman" w:cs="Times New Roman"/>
          <w:sz w:val="24"/>
          <w:szCs w:val="24"/>
        </w:rPr>
        <w:t xml:space="preserve">, </w:t>
      </w:r>
      <w:r w:rsidRPr="00446713">
        <w:rPr>
          <w:rFonts w:ascii="Times New Roman" w:eastAsia="Times New Roman" w:hAnsi="Times New Roman" w:cs="Times New Roman"/>
          <w:sz w:val="24"/>
          <w:szCs w:val="24"/>
        </w:rPr>
        <w:t xml:space="preserve">revenue fell from ₹15,521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to ₹14,612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while OPM slipped from 32% to 27%. One quarter doesn't make a trend, but it's worth watching. Could be seasonal, could be pricing pressure from generic competition.</w:t>
      </w:r>
    </w:p>
    <w:p w14:paraId="5DC18E66" w14:textId="48D12141"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2. Tata Motors is growing fastest</w:t>
      </w:r>
      <w:r>
        <w:rPr>
          <w:rFonts w:ascii="Times New Roman" w:eastAsia="Times New Roman" w:hAnsi="Times New Roman" w:cs="Times New Roman"/>
          <w:b/>
          <w:bCs/>
          <w:sz w:val="24"/>
          <w:szCs w:val="24"/>
        </w:rPr>
        <w:t xml:space="preserve">, </w:t>
      </w:r>
      <w:r w:rsidRPr="00446713">
        <w:rPr>
          <w:rFonts w:ascii="Times New Roman" w:eastAsia="Times New Roman" w:hAnsi="Times New Roman" w:cs="Times New Roman"/>
          <w:b/>
          <w:bCs/>
          <w:sz w:val="24"/>
          <w:szCs w:val="24"/>
        </w:rPr>
        <w:t>but profitability is volatile</w:t>
      </w:r>
      <w:r w:rsidRPr="00446713">
        <w:rPr>
          <w:rFonts w:ascii="Times New Roman" w:eastAsia="Times New Roman" w:hAnsi="Times New Roman" w:cs="Times New Roman"/>
          <w:sz w:val="24"/>
          <w:szCs w:val="24"/>
        </w:rPr>
        <w:t xml:space="preserve"> No company in this analysis grew revenue faster than Tata Motors </w:t>
      </w:r>
      <w:r>
        <w:rPr>
          <w:rFonts w:ascii="Times New Roman" w:eastAsia="Times New Roman" w:hAnsi="Times New Roman" w:cs="Times New Roman"/>
          <w:sz w:val="24"/>
          <w:szCs w:val="24"/>
        </w:rPr>
        <w:t xml:space="preserve">- </w:t>
      </w:r>
      <w:r w:rsidRPr="00446713">
        <w:rPr>
          <w:rFonts w:ascii="Times New Roman" w:eastAsia="Times New Roman" w:hAnsi="Times New Roman" w:cs="Times New Roman"/>
          <w:sz w:val="24"/>
          <w:szCs w:val="24"/>
        </w:rPr>
        <w:t xml:space="preserve">averaging 8.99% </w:t>
      </w:r>
      <w:proofErr w:type="spellStart"/>
      <w:r w:rsidRPr="00446713">
        <w:rPr>
          <w:rFonts w:ascii="Times New Roman" w:eastAsia="Times New Roman" w:hAnsi="Times New Roman" w:cs="Times New Roman"/>
          <w:sz w:val="24"/>
          <w:szCs w:val="24"/>
        </w:rPr>
        <w:t>QoQ</w:t>
      </w:r>
      <w:proofErr w:type="spellEnd"/>
      <w:r w:rsidRPr="00446713">
        <w:rPr>
          <w:rFonts w:ascii="Times New Roman" w:eastAsia="Times New Roman" w:hAnsi="Times New Roman" w:cs="Times New Roman"/>
          <w:sz w:val="24"/>
          <w:szCs w:val="24"/>
        </w:rPr>
        <w:t xml:space="preserve"> growth vs the next best at 2.21%. Revenue nearly doubled from ₹15,518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to ₹24,452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across the period. But the profit story is messy. SEP'25 delivered a net loss of ₹1,021 </w:t>
      </w:r>
      <w:proofErr w:type="spellStart"/>
      <w:proofErr w:type="gram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r w:rsidRPr="00446713">
        <w:rPr>
          <w:rFonts w:ascii="Times New Roman" w:eastAsia="Times New Roman" w:hAnsi="Times New Roman" w:cs="Times New Roman"/>
          <w:sz w:val="24"/>
          <w:szCs w:val="24"/>
        </w:rPr>
        <w:t xml:space="preserve"> likely driven by JLR-related provisions and EV transition costs. MAR'26 bounced back sharply to ₹2,406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profit. High growth, high volatility</w:t>
      </w:r>
      <w:r>
        <w:rPr>
          <w:rFonts w:ascii="Times New Roman" w:eastAsia="Times New Roman" w:hAnsi="Times New Roman" w:cs="Times New Roman"/>
          <w:sz w:val="24"/>
          <w:szCs w:val="24"/>
        </w:rPr>
        <w:t>,</w:t>
      </w:r>
      <w:r w:rsidRPr="00446713">
        <w:rPr>
          <w:rFonts w:ascii="Times New Roman" w:eastAsia="Times New Roman" w:hAnsi="Times New Roman" w:cs="Times New Roman"/>
          <w:sz w:val="24"/>
          <w:szCs w:val="24"/>
        </w:rPr>
        <w:t xml:space="preserve"> classic auto sector behavior.</w:t>
      </w:r>
    </w:p>
    <w:p w14:paraId="6580D7D6" w14:textId="6A451B77"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3. HDFC Bank is the quiet compounder</w:t>
      </w:r>
      <w:r w:rsidRPr="00446713">
        <w:rPr>
          <w:rFonts w:ascii="Times New Roman" w:eastAsia="Times New Roman" w:hAnsi="Times New Roman" w:cs="Times New Roman"/>
          <w:sz w:val="24"/>
          <w:szCs w:val="24"/>
        </w:rPr>
        <w:t xml:space="preserve"> No drama, no surprises. Revenue grew steadily from ₹81,546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to ₹87,182 cr. Net profit climbed consistently from ₹17,188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to ₹21,074 cr. OPM held at 23% throughout. In a sector often rattled by NPA scares and rate cycles, this kind of consistency is actually the story. HDFC Bank is doing exactly what a large private bank </w:t>
      </w:r>
      <w:proofErr w:type="gramStart"/>
      <w:r w:rsidRPr="00446713">
        <w:rPr>
          <w:rFonts w:ascii="Times New Roman" w:eastAsia="Times New Roman" w:hAnsi="Times New Roman" w:cs="Times New Roman"/>
          <w:sz w:val="24"/>
          <w:szCs w:val="24"/>
        </w:rPr>
        <w:t xml:space="preserve">should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 </w:t>
      </w:r>
      <w:r w:rsidRPr="00446713">
        <w:rPr>
          <w:rFonts w:ascii="Times New Roman" w:eastAsia="Times New Roman" w:hAnsi="Times New Roman" w:cs="Times New Roman"/>
          <w:sz w:val="24"/>
          <w:szCs w:val="24"/>
        </w:rPr>
        <w:t>compounding quietly.</w:t>
      </w:r>
    </w:p>
    <w:p w14:paraId="1AE52574" w14:textId="0E4AC633"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4. Asian Paints is stagnating</w:t>
      </w:r>
      <w:r w:rsidRPr="00446713">
        <w:rPr>
          <w:rFonts w:ascii="Times New Roman" w:eastAsia="Times New Roman" w:hAnsi="Times New Roman" w:cs="Times New Roman"/>
          <w:sz w:val="24"/>
          <w:szCs w:val="24"/>
        </w:rPr>
        <w:t xml:space="preserve"> This was the most underwhelming performance in the analysis. Revenue barely moved</w:t>
      </w:r>
      <w:r>
        <w:rPr>
          <w:rFonts w:ascii="Times New Roman" w:eastAsia="Times New Roman" w:hAnsi="Times New Roman" w:cs="Times New Roman"/>
          <w:sz w:val="24"/>
          <w:szCs w:val="24"/>
        </w:rPr>
        <w:t>,</w:t>
      </w:r>
      <w:r w:rsidRPr="00446713">
        <w:rPr>
          <w:rFonts w:ascii="Times New Roman" w:eastAsia="Times New Roman" w:hAnsi="Times New Roman" w:cs="Times New Roman"/>
          <w:sz w:val="24"/>
          <w:szCs w:val="24"/>
        </w:rPr>
        <w:t xml:space="preserve"> ₹8,970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in JUN'24 vs ₹9,247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in MAR'26. That's less than 3% total growth over 8 quarters. OPM fluctuated between 15% and 20% with no clear improvement trend. Net profit dropped from ₹1,187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to ₹694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in SEP'24 before partially recovering. The decorative paints sector is facing real headwinds</w:t>
      </w:r>
      <w:r>
        <w:rPr>
          <w:rFonts w:ascii="Times New Roman" w:eastAsia="Times New Roman" w:hAnsi="Times New Roman" w:cs="Times New Roman"/>
          <w:sz w:val="24"/>
          <w:szCs w:val="24"/>
        </w:rPr>
        <w:t xml:space="preserve">, </w:t>
      </w:r>
      <w:r w:rsidRPr="00446713">
        <w:rPr>
          <w:rFonts w:ascii="Times New Roman" w:eastAsia="Times New Roman" w:hAnsi="Times New Roman" w:cs="Times New Roman"/>
          <w:sz w:val="24"/>
          <w:szCs w:val="24"/>
        </w:rPr>
        <w:t>raw material costs, competitive pressure from Grasim/Birla Opus entering the market aggressively, and sluggish urban housing demand.</w:t>
      </w:r>
    </w:p>
    <w:p w14:paraId="63DA9E84" w14:textId="08CFF179"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5. HUL is stable</w:t>
      </w:r>
      <w:r>
        <w:rPr>
          <w:rFonts w:ascii="Times New Roman" w:eastAsia="Times New Roman" w:hAnsi="Times New Roman" w:cs="Times New Roman"/>
          <w:b/>
          <w:bCs/>
          <w:sz w:val="24"/>
          <w:szCs w:val="24"/>
        </w:rPr>
        <w:t>,</w:t>
      </w:r>
      <w:r w:rsidRPr="00446713">
        <w:rPr>
          <w:rFonts w:ascii="Times New Roman" w:eastAsia="Times New Roman" w:hAnsi="Times New Roman" w:cs="Times New Roman"/>
          <w:b/>
          <w:bCs/>
          <w:sz w:val="24"/>
          <w:szCs w:val="24"/>
        </w:rPr>
        <w:t xml:space="preserve"> but one number needs a footnote</w:t>
      </w:r>
      <w:r w:rsidRPr="00446713">
        <w:rPr>
          <w:rFonts w:ascii="Times New Roman" w:eastAsia="Times New Roman" w:hAnsi="Times New Roman" w:cs="Times New Roman"/>
          <w:sz w:val="24"/>
          <w:szCs w:val="24"/>
        </w:rPr>
        <w:t xml:space="preserve"> HUL delivered steady revenue around ₹15,000–16,500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with consistent OPM of 23–24%. Reliable, predictable, boring in the best way for a defensive stock. One exception</w:t>
      </w:r>
      <w:r>
        <w:rPr>
          <w:rFonts w:ascii="Times New Roman" w:eastAsia="Times New Roman" w:hAnsi="Times New Roman" w:cs="Times New Roman"/>
          <w:sz w:val="24"/>
          <w:szCs w:val="24"/>
        </w:rPr>
        <w:t xml:space="preserve">, </w:t>
      </w:r>
      <w:r w:rsidRPr="00446713">
        <w:rPr>
          <w:rFonts w:ascii="Times New Roman" w:eastAsia="Times New Roman" w:hAnsi="Times New Roman" w:cs="Times New Roman"/>
          <w:sz w:val="24"/>
          <w:szCs w:val="24"/>
        </w:rPr>
        <w:t xml:space="preserve">DEC'25 net profit spiked to ₹6,603 </w:t>
      </w:r>
      <w:proofErr w:type="spellStart"/>
      <w:r w:rsidRPr="00446713">
        <w:rPr>
          <w:rFonts w:ascii="Times New Roman" w:eastAsia="Times New Roman" w:hAnsi="Times New Roman" w:cs="Times New Roman"/>
          <w:sz w:val="24"/>
          <w:szCs w:val="24"/>
        </w:rPr>
        <w:t>cr</w:t>
      </w:r>
      <w:proofErr w:type="spellEnd"/>
      <w:r w:rsidRPr="00446713">
        <w:rPr>
          <w:rFonts w:ascii="Times New Roman" w:eastAsia="Times New Roman" w:hAnsi="Times New Roman" w:cs="Times New Roman"/>
          <w:sz w:val="24"/>
          <w:szCs w:val="24"/>
        </w:rPr>
        <w:t xml:space="preserve"> against a normal run rate of ₹2,700–3,000 cr. This is almost certainly a one-time exceptional item, not operational improvement. Stripping that out, HUL's underlying performance is flat but resilient.</w:t>
      </w:r>
    </w:p>
    <w:p w14:paraId="550023D0" w14:textId="7193D244" w:rsidR="00446713" w:rsidRPr="00446713" w:rsidRDefault="00446713" w:rsidP="00446713">
      <w:pPr>
        <w:spacing w:after="0" w:line="240" w:lineRule="auto"/>
        <w:rPr>
          <w:rFonts w:ascii="Times New Roman" w:eastAsia="Times New Roman" w:hAnsi="Times New Roman" w:cs="Times New Roman"/>
          <w:sz w:val="24"/>
          <w:szCs w:val="24"/>
        </w:rPr>
      </w:pPr>
    </w:p>
    <w:p w14:paraId="016AD80E" w14:textId="77777777"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Risks &amp; Anomalies to Flag</w:t>
      </w:r>
    </w:p>
    <w:p w14:paraId="7AEF3D5E" w14:textId="1364B225" w:rsidR="00446713" w:rsidRPr="00446713" w:rsidRDefault="00446713" w:rsidP="004467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Tata Motors SEP'25 net loss</w:t>
      </w:r>
      <w:r>
        <w:rPr>
          <w:rFonts w:ascii="Times New Roman" w:eastAsia="Times New Roman" w:hAnsi="Times New Roman" w:cs="Times New Roman"/>
          <w:sz w:val="24"/>
          <w:szCs w:val="24"/>
        </w:rPr>
        <w:t xml:space="preserve"> -</w:t>
      </w:r>
      <w:r w:rsidRPr="00446713">
        <w:rPr>
          <w:rFonts w:ascii="Times New Roman" w:eastAsia="Times New Roman" w:hAnsi="Times New Roman" w:cs="Times New Roman"/>
          <w:sz w:val="24"/>
          <w:szCs w:val="24"/>
        </w:rPr>
        <w:t xml:space="preserve"> JLR provisions + EV capex </w:t>
      </w:r>
      <w:proofErr w:type="gramStart"/>
      <w:r w:rsidRPr="00446713">
        <w:rPr>
          <w:rFonts w:ascii="Times New Roman" w:eastAsia="Times New Roman" w:hAnsi="Times New Roman" w:cs="Times New Roman"/>
          <w:sz w:val="24"/>
          <w:szCs w:val="24"/>
        </w:rPr>
        <w:t>drag</w:t>
      </w:r>
      <w:proofErr w:type="gramEnd"/>
    </w:p>
    <w:p w14:paraId="47122667" w14:textId="05E2EC85" w:rsidR="00446713" w:rsidRPr="00446713" w:rsidRDefault="00446713" w:rsidP="004467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 xml:space="preserve">Sun Pharma MAR'26 double dip </w:t>
      </w:r>
      <w:r>
        <w:rPr>
          <w:rFonts w:ascii="Times New Roman" w:eastAsia="Times New Roman" w:hAnsi="Times New Roman" w:cs="Times New Roman"/>
          <w:sz w:val="24"/>
          <w:szCs w:val="24"/>
        </w:rPr>
        <w:t>-</w:t>
      </w:r>
      <w:r w:rsidRPr="00446713">
        <w:rPr>
          <w:rFonts w:ascii="Times New Roman" w:eastAsia="Times New Roman" w:hAnsi="Times New Roman" w:cs="Times New Roman"/>
          <w:sz w:val="24"/>
          <w:szCs w:val="24"/>
        </w:rPr>
        <w:t xml:space="preserve"> revenue and margin falling together</w:t>
      </w:r>
    </w:p>
    <w:p w14:paraId="1E5807F9" w14:textId="1D4EC232" w:rsidR="00446713" w:rsidRPr="00446713" w:rsidRDefault="00446713" w:rsidP="004467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HUL DEC'25 profit spike</w:t>
      </w:r>
      <w:r>
        <w:rPr>
          <w:rFonts w:ascii="Times New Roman" w:eastAsia="Times New Roman" w:hAnsi="Times New Roman" w:cs="Times New Roman"/>
          <w:sz w:val="24"/>
          <w:szCs w:val="24"/>
        </w:rPr>
        <w:t xml:space="preserve"> - </w:t>
      </w:r>
      <w:r w:rsidRPr="00446713">
        <w:rPr>
          <w:rFonts w:ascii="Times New Roman" w:eastAsia="Times New Roman" w:hAnsi="Times New Roman" w:cs="Times New Roman"/>
          <w:sz w:val="24"/>
          <w:szCs w:val="24"/>
        </w:rPr>
        <w:t>one-time item, not sustainable</w:t>
      </w:r>
    </w:p>
    <w:p w14:paraId="3236AB08" w14:textId="6AB78915" w:rsidR="00446713" w:rsidRPr="00446713" w:rsidRDefault="00446713" w:rsidP="004467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 xml:space="preserve">Asian Paints flat revenue </w:t>
      </w:r>
      <w:r>
        <w:rPr>
          <w:rFonts w:ascii="Times New Roman" w:eastAsia="Times New Roman" w:hAnsi="Times New Roman" w:cs="Times New Roman"/>
          <w:sz w:val="24"/>
          <w:szCs w:val="24"/>
        </w:rPr>
        <w:t xml:space="preserve">- </w:t>
      </w:r>
      <w:r w:rsidRPr="00446713">
        <w:rPr>
          <w:rFonts w:ascii="Times New Roman" w:eastAsia="Times New Roman" w:hAnsi="Times New Roman" w:cs="Times New Roman"/>
          <w:sz w:val="24"/>
          <w:szCs w:val="24"/>
        </w:rPr>
        <w:t>structural competitive threat from new entrants</w:t>
      </w:r>
    </w:p>
    <w:p w14:paraId="764C27FF" w14:textId="4EF67BBB" w:rsidR="00446713" w:rsidRPr="00446713" w:rsidRDefault="00446713" w:rsidP="00446713">
      <w:pPr>
        <w:spacing w:after="0" w:line="240" w:lineRule="auto"/>
        <w:rPr>
          <w:rFonts w:ascii="Times New Roman" w:eastAsia="Times New Roman" w:hAnsi="Times New Roman" w:cs="Times New Roman"/>
          <w:sz w:val="24"/>
          <w:szCs w:val="24"/>
        </w:rPr>
      </w:pPr>
    </w:p>
    <w:p w14:paraId="62A75686" w14:textId="77777777"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b/>
          <w:bCs/>
          <w:sz w:val="24"/>
          <w:szCs w:val="24"/>
        </w:rPr>
        <w:t>Conclusion</w:t>
      </w:r>
    </w:p>
    <w:p w14:paraId="48AF3A4E" w14:textId="547799B1"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 xml:space="preserve">If forced to rank on overall financial health across growth, margins, and consistency </w:t>
      </w:r>
      <w:r>
        <w:rPr>
          <w:rFonts w:ascii="Times New Roman" w:eastAsia="Times New Roman" w:hAnsi="Times New Roman" w:cs="Times New Roman"/>
          <w:sz w:val="24"/>
          <w:szCs w:val="24"/>
        </w:rPr>
        <w:t>-</w:t>
      </w:r>
      <w:r w:rsidRPr="00446713">
        <w:rPr>
          <w:rFonts w:ascii="Times New Roman" w:eastAsia="Times New Roman" w:hAnsi="Times New Roman" w:cs="Times New Roman"/>
          <w:sz w:val="24"/>
          <w:szCs w:val="24"/>
        </w:rPr>
        <w:t xml:space="preserve"> HDFC Bank wins on stability, Sun Pharma wins on margins, and Tata Motors wins on growth but carries the most risk. Asian Paints is the one company where the data raises genuine questions about the next 2–3 years.</w:t>
      </w:r>
    </w:p>
    <w:p w14:paraId="055CA432" w14:textId="31F46B95" w:rsidR="00446713" w:rsidRPr="00446713" w:rsidRDefault="00446713" w:rsidP="00446713">
      <w:pPr>
        <w:spacing w:before="100" w:beforeAutospacing="1" w:after="100" w:afterAutospacing="1" w:line="240" w:lineRule="auto"/>
        <w:rPr>
          <w:rFonts w:ascii="Times New Roman" w:eastAsia="Times New Roman" w:hAnsi="Times New Roman" w:cs="Times New Roman"/>
          <w:sz w:val="24"/>
          <w:szCs w:val="24"/>
        </w:rPr>
      </w:pPr>
      <w:r w:rsidRPr="00446713">
        <w:rPr>
          <w:rFonts w:ascii="Times New Roman" w:eastAsia="Times New Roman" w:hAnsi="Times New Roman" w:cs="Times New Roman"/>
          <w:sz w:val="24"/>
          <w:szCs w:val="24"/>
        </w:rPr>
        <w:t>The broader takeaway: margin leadership doesn't always come from the fastest-growing sector. Pharma and Banking</w:t>
      </w:r>
      <w:r>
        <w:rPr>
          <w:rFonts w:ascii="Times New Roman" w:eastAsia="Times New Roman" w:hAnsi="Times New Roman" w:cs="Times New Roman"/>
          <w:sz w:val="24"/>
          <w:szCs w:val="24"/>
        </w:rPr>
        <w:t>,</w:t>
      </w:r>
      <w:r w:rsidRPr="00446713">
        <w:rPr>
          <w:rFonts w:ascii="Times New Roman" w:eastAsia="Times New Roman" w:hAnsi="Times New Roman" w:cs="Times New Roman"/>
          <w:sz w:val="24"/>
          <w:szCs w:val="24"/>
        </w:rPr>
        <w:t xml:space="preserve"> both relatively unglamorous</w:t>
      </w:r>
      <w:r>
        <w:rPr>
          <w:rFonts w:ascii="Times New Roman" w:eastAsia="Times New Roman" w:hAnsi="Times New Roman" w:cs="Times New Roman"/>
          <w:sz w:val="24"/>
          <w:szCs w:val="24"/>
        </w:rPr>
        <w:t>,</w:t>
      </w:r>
      <w:r w:rsidRPr="00446713">
        <w:rPr>
          <w:rFonts w:ascii="Times New Roman" w:eastAsia="Times New Roman" w:hAnsi="Times New Roman" w:cs="Times New Roman"/>
          <w:sz w:val="24"/>
          <w:szCs w:val="24"/>
        </w:rPr>
        <w:t xml:space="preserve"> outperformed Auto and Paints on profitability metrics across this entire period.</w:t>
      </w:r>
    </w:p>
    <w:p w14:paraId="5E83AC02" w14:textId="77777777" w:rsidR="00BA6163" w:rsidRDefault="00BA6163"/>
    <w:sectPr w:rsidR="00BA6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71077"/>
    <w:multiLevelType w:val="multilevel"/>
    <w:tmpl w:val="B88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13"/>
    <w:rsid w:val="0043589E"/>
    <w:rsid w:val="00446713"/>
    <w:rsid w:val="004F1B34"/>
    <w:rsid w:val="005F61D1"/>
    <w:rsid w:val="00907EEC"/>
    <w:rsid w:val="00A46DCC"/>
    <w:rsid w:val="00BA6163"/>
    <w:rsid w:val="00CB0EF0"/>
    <w:rsid w:val="00E95D9B"/>
    <w:rsid w:val="00FE7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6FB8"/>
  <w15:chartTrackingRefBased/>
  <w15:docId w15:val="{FAF58947-C3B8-4FEA-990D-6A4A008B1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467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67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76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Vrusti Jain</dc:creator>
  <cp:keywords/>
  <dc:description/>
  <cp:lastModifiedBy>Vrusti Jain</cp:lastModifiedBy>
  <cp:revision>2</cp:revision>
  <dcterms:created xsi:type="dcterms:W3CDTF">2026-06-09T05:30:00Z</dcterms:created>
  <dcterms:modified xsi:type="dcterms:W3CDTF">2026-06-09T05:30:00Z</dcterms:modified>
</cp:coreProperties>
</file>